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3368649" w14:textId="77777777" w:rsidR="00E87C99" w:rsidRPr="00F10E27" w:rsidRDefault="00000000" w:rsidP="00F10E27">
      <w:pPr>
        <w:spacing w:before="240" w:after="240"/>
        <w:jc w:val="center"/>
        <w:rPr>
          <w:rFonts w:ascii="Garamond" w:hAnsi="Garamond"/>
          <w:b/>
          <w:bCs/>
          <w:sz w:val="32"/>
          <w:szCs w:val="32"/>
          <w:lang w:val="en-US"/>
        </w:rPr>
      </w:pPr>
      <w:r w:rsidRPr="00F10E27">
        <w:rPr>
          <w:rFonts w:ascii="Garamond" w:hAnsi="Garamond"/>
          <w:b/>
          <w:bCs/>
          <w:sz w:val="32"/>
          <w:szCs w:val="32"/>
          <w:lang w:val="en-US"/>
        </w:rPr>
        <w:t>README — Reproducibility package (Zambia)</w:t>
      </w:r>
    </w:p>
    <w:p w14:paraId="1DCA86E6" w14:textId="77777777" w:rsidR="00E87C99" w:rsidRPr="00F10E27" w:rsidRDefault="00000000" w:rsidP="00F10E27">
      <w:pPr>
        <w:spacing w:before="240" w:after="240" w:line="360" w:lineRule="auto"/>
        <w:jc w:val="center"/>
        <w:rPr>
          <w:rFonts w:ascii="Garamond" w:hAnsi="Garamond"/>
          <w:b/>
          <w:bCs/>
          <w:i/>
          <w:iCs/>
          <w:sz w:val="28"/>
          <w:szCs w:val="28"/>
          <w:lang w:val="en-US"/>
        </w:rPr>
      </w:pPr>
      <w:r w:rsidRPr="00F10E27">
        <w:rPr>
          <w:rFonts w:ascii="Garamond" w:hAnsi="Garamond"/>
          <w:b/>
          <w:bCs/>
          <w:i/>
          <w:iCs/>
          <w:sz w:val="28"/>
          <w:szCs w:val="28"/>
          <w:lang w:val="en-US"/>
        </w:rPr>
        <w:t>"Not Too Much, Not Too Little: A Goldilocks approach to sustainable, universal electricity access in sub-Saharan Africa"</w:t>
      </w:r>
    </w:p>
    <w:p w14:paraId="7DA5DA00" w14:textId="77777777" w:rsidR="00E87C99" w:rsidRPr="00F10E27" w:rsidRDefault="00000000" w:rsidP="00F10E27">
      <w:pPr>
        <w:spacing w:before="240" w:after="240"/>
        <w:jc w:val="center"/>
        <w:rPr>
          <w:rFonts w:ascii="Garamond" w:hAnsi="Garamond"/>
          <w:lang w:val="en-US"/>
        </w:rPr>
      </w:pPr>
      <w:r w:rsidRPr="00F10E27">
        <w:rPr>
          <w:rFonts w:ascii="Garamond" w:hAnsi="Garamond"/>
          <w:lang w:val="en-US"/>
        </w:rPr>
        <w:t>Santos J. Díaz-Pastor, Yang Liu, Ignacio J. Pérez-Arriaga</w:t>
      </w:r>
    </w:p>
    <w:p w14:paraId="5EA937E5" w14:textId="7F099DF4" w:rsidR="00E87C99" w:rsidRDefault="00000000" w:rsidP="00F10E27">
      <w:pPr>
        <w:spacing w:before="240" w:after="240"/>
        <w:jc w:val="center"/>
        <w:rPr>
          <w:rFonts w:ascii="Garamond" w:hAnsi="Garamond"/>
          <w:i/>
          <w:iCs/>
          <w:sz w:val="19"/>
          <w:szCs w:val="19"/>
          <w:lang w:val="en-US"/>
        </w:rPr>
      </w:pPr>
      <w:r w:rsidRPr="00F10E27">
        <w:rPr>
          <w:rFonts w:ascii="Garamond" w:hAnsi="Garamond"/>
          <w:i/>
          <w:iCs/>
          <w:sz w:val="19"/>
          <w:szCs w:val="19"/>
          <w:lang w:val="en-US"/>
        </w:rPr>
        <w:t>Massachusetts Institute of Technology (MIT); Institute for Research in Technology, Comillas Pontifical University; World Bank Group.</w:t>
      </w:r>
    </w:p>
    <w:p w14:paraId="5287FF44" w14:textId="77777777" w:rsidR="00F10E27" w:rsidRPr="00F10E27" w:rsidRDefault="00F10E27" w:rsidP="00F10E27">
      <w:pPr>
        <w:spacing w:before="240" w:after="240"/>
        <w:jc w:val="center"/>
        <w:rPr>
          <w:rFonts w:ascii="Garamond" w:hAnsi="Garamond"/>
          <w:i/>
          <w:iCs/>
          <w:sz w:val="19"/>
          <w:szCs w:val="19"/>
          <w:lang w:val="en-US"/>
        </w:rPr>
      </w:pPr>
    </w:p>
    <w:p w14:paraId="4873AB43" w14:textId="77777777" w:rsidR="00E87C99" w:rsidRPr="00F10E27" w:rsidRDefault="00000000" w:rsidP="00F10E27">
      <w:pPr>
        <w:pStyle w:val="Ttulo1"/>
        <w:spacing w:before="280" w:after="140"/>
        <w:jc w:val="both"/>
        <w:rPr>
          <w:rFonts w:ascii="Garamond" w:hAnsi="Garamond"/>
          <w:lang w:val="en-US"/>
        </w:rPr>
      </w:pPr>
      <w:r w:rsidRPr="00F10E27">
        <w:rPr>
          <w:rFonts w:ascii="Garamond" w:hAnsi="Garamond"/>
          <w:b/>
          <w:bCs/>
          <w:sz w:val="30"/>
          <w:szCs w:val="30"/>
          <w:lang w:val="en-US"/>
        </w:rPr>
        <w:t>1. Overview</w:t>
      </w:r>
    </w:p>
    <w:p w14:paraId="187E0FEB" w14:textId="77777777" w:rsidR="00E87C99" w:rsidRPr="00F10E27" w:rsidRDefault="00000000" w:rsidP="00F10E27">
      <w:pPr>
        <w:spacing w:after="120" w:line="276" w:lineRule="auto"/>
        <w:jc w:val="both"/>
        <w:rPr>
          <w:rFonts w:ascii="Garamond" w:hAnsi="Garamond"/>
          <w:lang w:val="en-US"/>
        </w:rPr>
      </w:pPr>
      <w:r w:rsidRPr="00F10E27">
        <w:rPr>
          <w:rFonts w:ascii="Garamond" w:hAnsi="Garamond"/>
          <w:lang w:val="en-US"/>
        </w:rPr>
        <w:t xml:space="preserve">This package reproduces the </w:t>
      </w:r>
      <w:r w:rsidRPr="00F10E27">
        <w:rPr>
          <w:rFonts w:ascii="Garamond" w:hAnsi="Garamond"/>
          <w:b/>
          <w:bCs/>
          <w:lang w:val="en-US"/>
        </w:rPr>
        <w:t>Zambia</w:t>
      </w:r>
      <w:r w:rsidRPr="00F10E27">
        <w:rPr>
          <w:rFonts w:ascii="Garamond" w:hAnsi="Garamond"/>
          <w:lang w:val="en-US"/>
        </w:rPr>
        <w:t xml:space="preserve"> results of the manuscript. It contains two Microsoft Excel workbooks — the Rural Electrification Master Plan (REMP) financial model — underlying </w:t>
      </w:r>
      <w:r w:rsidRPr="00F10E27">
        <w:rPr>
          <w:rFonts w:ascii="Garamond" w:hAnsi="Garamond"/>
          <w:b/>
          <w:bCs/>
          <w:lang w:val="en-US"/>
        </w:rPr>
        <w:t>Section 5</w:t>
      </w:r>
      <w:r w:rsidRPr="00F10E27">
        <w:rPr>
          <w:rFonts w:ascii="Garamond" w:hAnsi="Garamond"/>
          <w:lang w:val="en-US"/>
        </w:rPr>
        <w:t xml:space="preserve"> of the paper:</w:t>
      </w:r>
    </w:p>
    <w:p w14:paraId="37357766"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eastAsia="Consolas" w:hAnsi="Garamond" w:cs="Consolas"/>
          <w:sz w:val="20"/>
          <w:szCs w:val="20"/>
          <w:lang w:val="en-US"/>
        </w:rPr>
        <w:t>REMP_-_Financial_Model_2030.xlsx</w:t>
      </w:r>
      <w:r w:rsidRPr="00F10E27">
        <w:rPr>
          <w:rFonts w:ascii="Garamond" w:hAnsi="Garamond"/>
          <w:lang w:val="en-US"/>
        </w:rPr>
        <w:t xml:space="preserve"> — base case, REMP rollout to 2030.</w:t>
      </w:r>
    </w:p>
    <w:p w14:paraId="19325368"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eastAsia="Consolas" w:hAnsi="Garamond" w:cs="Consolas"/>
          <w:sz w:val="20"/>
          <w:szCs w:val="20"/>
          <w:lang w:val="en-US"/>
        </w:rPr>
        <w:t>REMP_-_Financial_Model_2040.xlsx</w:t>
      </w:r>
      <w:r w:rsidRPr="00F10E27">
        <w:rPr>
          <w:rFonts w:ascii="Garamond" w:hAnsi="Garamond"/>
          <w:lang w:val="en-US"/>
        </w:rPr>
        <w:t xml:space="preserve"> — extended-horizon scenario, target year 2040 (same model structure and assumptions, longer timeline).</w:t>
      </w:r>
    </w:p>
    <w:p w14:paraId="3AB67DF8" w14:textId="77777777" w:rsidR="00E87C99" w:rsidRPr="00F10E27" w:rsidRDefault="00000000" w:rsidP="00F10E27">
      <w:pPr>
        <w:spacing w:after="120" w:line="276" w:lineRule="auto"/>
        <w:jc w:val="both"/>
        <w:rPr>
          <w:rFonts w:ascii="Garamond" w:hAnsi="Garamond"/>
          <w:lang w:val="en-US"/>
        </w:rPr>
      </w:pPr>
      <w:r w:rsidRPr="00F10E27">
        <w:rPr>
          <w:rFonts w:ascii="Garamond" w:hAnsi="Garamond"/>
          <w:lang w:val="en-US"/>
        </w:rPr>
        <w:t xml:space="preserve">The Zambia comparative results appear in this manuscript as </w:t>
      </w:r>
      <w:r w:rsidRPr="00F10E27">
        <w:rPr>
          <w:rFonts w:ascii="Garamond" w:hAnsi="Garamond"/>
          <w:b/>
          <w:bCs/>
          <w:lang w:val="en-US"/>
        </w:rPr>
        <w:t>Table 2</w:t>
      </w:r>
      <w:r w:rsidRPr="00F10E27">
        <w:rPr>
          <w:rFonts w:ascii="Garamond" w:hAnsi="Garamond"/>
          <w:lang w:val="en-US"/>
        </w:rPr>
        <w:t xml:space="preserve"> (the five layers that must not be conflated); the supporting figures appear as in-text values in Sections 5.1 to 5.5. The analysis was developed by the African School of Regulation in collaboration with Sustainable Energy for All, on the basis of the Government's REMP (MoE &amp; REA, 2026). Every value in this package has been checked against the workbooks.</w:t>
      </w:r>
    </w:p>
    <w:p w14:paraId="060B6DFC" w14:textId="77777777" w:rsidR="00E87C99" w:rsidRPr="00F10E27" w:rsidRDefault="00000000" w:rsidP="00F10E27">
      <w:pPr>
        <w:spacing w:after="120" w:line="276" w:lineRule="auto"/>
        <w:jc w:val="both"/>
        <w:rPr>
          <w:rFonts w:ascii="Garamond" w:hAnsi="Garamond"/>
          <w:lang w:val="en-US"/>
        </w:rPr>
      </w:pPr>
      <w:r w:rsidRPr="00F10E27">
        <w:rPr>
          <w:rFonts w:ascii="Garamond" w:hAnsi="Garamond"/>
          <w:b/>
          <w:bCs/>
          <w:lang w:val="en-US"/>
        </w:rPr>
        <w:t xml:space="preserve">Scope. </w:t>
      </w:r>
      <w:r w:rsidRPr="00F10E27">
        <w:rPr>
          <w:rFonts w:ascii="Garamond" w:hAnsi="Garamond"/>
          <w:lang w:val="en-US"/>
        </w:rPr>
        <w:t>This package reproduces only the Zambia exhibits and in-text figures. The Uganda results (Table 1; Section 4) are reproduced by a separate package. The Madagascar results (Table 3) are transcribed from third-party sources and are not model outputs. Figures 1–2 and Table 4 are conceptual or synthetic. See the List of Exhibits for the exact mapping.</w:t>
      </w:r>
    </w:p>
    <w:p w14:paraId="7F871CAF" w14:textId="77777777" w:rsidR="00E87C99" w:rsidRPr="00F10E27" w:rsidRDefault="00000000" w:rsidP="00F10E27">
      <w:pPr>
        <w:spacing w:after="120" w:line="276" w:lineRule="auto"/>
        <w:jc w:val="both"/>
        <w:rPr>
          <w:rFonts w:ascii="Garamond" w:hAnsi="Garamond"/>
          <w:lang w:val="en-US"/>
        </w:rPr>
      </w:pPr>
      <w:r w:rsidRPr="00F10E27">
        <w:rPr>
          <w:rFonts w:ascii="Garamond" w:hAnsi="Garamond"/>
          <w:b/>
          <w:bCs/>
          <w:lang w:val="en-US"/>
        </w:rPr>
        <w:t xml:space="preserve">How to read a value. </w:t>
      </w:r>
      <w:r w:rsidRPr="00F10E27">
        <w:rPr>
          <w:rFonts w:ascii="Garamond" w:hAnsi="Garamond"/>
          <w:lang w:val="en-US"/>
        </w:rPr>
        <w:t>There is no code to execute and no manual calculation: every reported value is computed by native Excel formulas. To reproduce a figure, open the indicated workbook and read the indicated worksheet and cell.</w:t>
      </w:r>
    </w:p>
    <w:p w14:paraId="7D6451FE" w14:textId="77777777" w:rsidR="00E87C99" w:rsidRPr="00F10E27" w:rsidRDefault="00000000" w:rsidP="00F10E27">
      <w:pPr>
        <w:pStyle w:val="Ttulo1"/>
        <w:spacing w:before="280" w:after="140"/>
        <w:jc w:val="both"/>
        <w:rPr>
          <w:rFonts w:ascii="Garamond" w:hAnsi="Garamond"/>
          <w:lang w:val="en-US"/>
        </w:rPr>
      </w:pPr>
      <w:r w:rsidRPr="00F10E27">
        <w:rPr>
          <w:rFonts w:ascii="Garamond" w:hAnsi="Garamond"/>
          <w:b/>
          <w:bCs/>
          <w:sz w:val="30"/>
          <w:szCs w:val="30"/>
          <w:lang w:val="en-US"/>
        </w:rPr>
        <w:t>2. Data Availability</w:t>
      </w:r>
    </w:p>
    <w:p w14:paraId="0CAA772F" w14:textId="77777777" w:rsidR="00E87C99" w:rsidRPr="00F10E27" w:rsidRDefault="00000000" w:rsidP="00F10E27">
      <w:pPr>
        <w:spacing w:after="120" w:line="276" w:lineRule="auto"/>
        <w:jc w:val="both"/>
        <w:rPr>
          <w:rFonts w:ascii="Garamond" w:hAnsi="Garamond"/>
          <w:lang w:val="en-US"/>
        </w:rPr>
      </w:pPr>
      <w:r w:rsidRPr="00F10E27">
        <w:rPr>
          <w:rFonts w:ascii="Garamond" w:hAnsi="Garamond"/>
          <w:b/>
          <w:bCs/>
          <w:lang w:val="en-US"/>
        </w:rPr>
        <w:t>Data-availability category:</w:t>
      </w:r>
    </w:p>
    <w:p w14:paraId="02AB0DEF"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lang w:val="en-US"/>
        </w:rPr>
        <w:t>[ ] All data are publicly available.</w:t>
      </w:r>
    </w:p>
    <w:p w14:paraId="774244B7"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[X] Some data cannot be made publicly available. </w:t>
      </w:r>
      <w:r w:rsidRPr="00F10E27">
        <w:rPr>
          <w:rFonts w:ascii="Garamond" w:hAnsi="Garamond"/>
          <w:lang w:val="en-US"/>
        </w:rPr>
        <w:t xml:space="preserve">The model relies on public primary sources (listed below). A small number of inputs — the cost of capital and grant shares agreed with project stakeholders, and the financing-structure parameters — are embedded model parameters rather than separately downloadable datasets. Each parameter is documented inline in the </w:t>
      </w:r>
      <w:r w:rsidRPr="00F10E27">
        <w:rPr>
          <w:rFonts w:ascii="Garamond" w:eastAsia="Consolas" w:hAnsi="Garamond" w:cs="Consolas"/>
          <w:sz w:val="20"/>
          <w:szCs w:val="20"/>
          <w:lang w:val="en-US"/>
        </w:rPr>
        <w:t>5_Assumptions</w:t>
      </w:r>
      <w:r w:rsidRPr="00F10E27">
        <w:rPr>
          <w:rFonts w:ascii="Garamond" w:hAnsi="Garamond"/>
          <w:lang w:val="en-US"/>
        </w:rPr>
        <w:t xml:space="preserve"> worksheet (which cites its source per row) and summarized in Section 5 of the manuscript.</w:t>
      </w:r>
    </w:p>
    <w:p w14:paraId="445317D8"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lang w:val="en-US"/>
        </w:rPr>
        <w:t>[ ] No data can be made publicly available.</w:t>
      </w:r>
    </w:p>
    <w:p w14:paraId="42C69182" w14:textId="77777777" w:rsidR="00E87C99" w:rsidRPr="00F10E27" w:rsidRDefault="00000000" w:rsidP="00F10E27">
      <w:pPr>
        <w:pStyle w:val="Ttulo2"/>
        <w:spacing w:before="200" w:after="100"/>
        <w:jc w:val="both"/>
        <w:rPr>
          <w:rFonts w:ascii="Garamond" w:hAnsi="Garamond"/>
          <w:lang w:val="en-US"/>
        </w:rPr>
      </w:pPr>
      <w:r w:rsidRPr="00F10E27">
        <w:rPr>
          <w:rFonts w:ascii="Garamond" w:hAnsi="Garamond"/>
          <w:b/>
          <w:bCs/>
          <w:sz w:val="25"/>
          <w:szCs w:val="25"/>
          <w:lang w:val="en-US"/>
        </w:rPr>
        <w:t>2.1 Data sources</w:t>
      </w:r>
    </w:p>
    <w:p w14:paraId="56C91279" w14:textId="77777777" w:rsidR="00E87C99" w:rsidRPr="00F10E27" w:rsidRDefault="00000000" w:rsidP="00F10E27">
      <w:pPr>
        <w:spacing w:after="120" w:line="276" w:lineRule="auto"/>
        <w:jc w:val="both"/>
        <w:rPr>
          <w:rFonts w:ascii="Garamond" w:hAnsi="Garamond"/>
          <w:lang w:val="en-US"/>
        </w:rPr>
      </w:pPr>
      <w:r w:rsidRPr="00F10E27">
        <w:rPr>
          <w:rFonts w:ascii="Garamond" w:hAnsi="Garamond"/>
          <w:lang w:val="en-US"/>
        </w:rPr>
        <w:t xml:space="preserve">No external dataset is loaded at run time; all inputs are embedded in the workbooks and documented inline in </w:t>
      </w:r>
      <w:r w:rsidRPr="00F10E27">
        <w:rPr>
          <w:rFonts w:ascii="Garamond" w:eastAsia="Consolas" w:hAnsi="Garamond" w:cs="Consolas"/>
          <w:sz w:val="20"/>
          <w:szCs w:val="20"/>
          <w:lang w:val="en-US"/>
        </w:rPr>
        <w:t>5_Assumptions</w:t>
      </w:r>
      <w:r w:rsidRPr="00F10E27">
        <w:rPr>
          <w:rFonts w:ascii="Garamond" w:hAnsi="Garamond"/>
          <w:lang w:val="en-US"/>
        </w:rPr>
        <w:t>.</w:t>
      </w:r>
    </w:p>
    <w:p w14:paraId="7AD69B86"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Least-cost rollout: connection targets by mode and unit costs. </w:t>
      </w:r>
      <w:r w:rsidRPr="00F10E27">
        <w:rPr>
          <w:rFonts w:ascii="Garamond" w:hAnsi="Garamond"/>
          <w:lang w:val="en-US"/>
        </w:rPr>
        <w:t>Rural Electrification Master Plan 2025–2030 (MoE &amp; REA, 2026).</w:t>
      </w:r>
    </w:p>
    <w:p w14:paraId="16194F48" w14:textId="549AA949" w:rsidR="00E87C99" w:rsidRPr="00F10E27" w:rsidRDefault="00000000" w:rsidP="00F10E27">
      <w:pPr>
        <w:pStyle w:val="Prrafodelista"/>
        <w:numPr>
          <w:ilvl w:val="1"/>
          <w:numId w:val="1"/>
        </w:numPr>
        <w:spacing w:after="60" w:line="276" w:lineRule="auto"/>
        <w:jc w:val="both"/>
        <w:rPr>
          <w:rFonts w:ascii="Garamond" w:hAnsi="Garamond"/>
          <w:lang w:val="en-US"/>
        </w:rPr>
      </w:pPr>
      <w:r w:rsidRPr="00F10E27">
        <w:rPr>
          <w:rFonts w:ascii="Garamond" w:hAnsi="Garamond"/>
          <w:b/>
          <w:bCs/>
          <w:lang w:val="en-US"/>
        </w:rPr>
        <w:lastRenderedPageBreak/>
        <w:t xml:space="preserve">Source / URL: </w:t>
      </w:r>
      <w:hyperlink r:id="rId5" w:history="1">
        <w:r w:rsidR="00F10E27" w:rsidRPr="00D75294">
          <w:rPr>
            <w:rStyle w:val="Hipervnculo"/>
            <w:rFonts w:ascii="Garamond" w:eastAsia="Consolas" w:hAnsi="Garamond" w:cs="Consolas"/>
            <w:sz w:val="20"/>
            <w:szCs w:val="20"/>
            <w:lang w:val="en-US"/>
          </w:rPr>
          <w:t>https://www.moe.gov.zm/?p=5722</w:t>
        </w:r>
      </w:hyperlink>
    </w:p>
    <w:p w14:paraId="64032A56"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Contractual and levy basis. </w:t>
      </w:r>
      <w:r w:rsidRPr="00F10E27">
        <w:rPr>
          <w:rFonts w:ascii="Garamond" w:hAnsi="Garamond"/>
          <w:lang w:val="en-US"/>
        </w:rPr>
        <w:t>Public-Private Partnership Act No. 18 of 2023; Rural Electrification Act No. 5 of 2023; Statutory Instrument No. 52 of 2024 (Government of the Republic of Zambia).</w:t>
      </w:r>
    </w:p>
    <w:p w14:paraId="687C1362" w14:textId="189AC673" w:rsidR="00E87C99" w:rsidRPr="00F10E27" w:rsidRDefault="00000000" w:rsidP="00F10E27">
      <w:pPr>
        <w:pStyle w:val="Prrafodelista"/>
        <w:numPr>
          <w:ilvl w:val="1"/>
          <w:numId w:val="1"/>
        </w:numPr>
        <w:spacing w:after="60" w:line="276" w:lineRule="auto"/>
        <w:jc w:val="both"/>
        <w:rPr>
          <w:rFonts w:ascii="Garamond" w:hAnsi="Garamond"/>
          <w:lang w:val="en-US"/>
        </w:rPr>
      </w:pPr>
      <w:r w:rsidRPr="00F10E27">
        <w:rPr>
          <w:rFonts w:ascii="Garamond" w:hAnsi="Garamond"/>
          <w:b/>
          <w:bCs/>
          <w:lang w:val="en-US"/>
        </w:rPr>
        <w:t xml:space="preserve">Source / URL: </w:t>
      </w:r>
      <w:hyperlink r:id="rId6" w:history="1">
        <w:r w:rsidR="00F10E27" w:rsidRPr="00D75294">
          <w:rPr>
            <w:rStyle w:val="Hipervnculo"/>
            <w:rFonts w:ascii="Garamond" w:eastAsia="Consolas" w:hAnsi="Garamond" w:cs="Consolas"/>
            <w:sz w:val="20"/>
            <w:szCs w:val="20"/>
            <w:lang w:val="en-US"/>
          </w:rPr>
          <w:t>https://www.mofnp.gov.zm/?wpdmpro=act-no-18-of-2023-the-public-private-partnership</w:t>
        </w:r>
      </w:hyperlink>
    </w:p>
    <w:p w14:paraId="7B009740"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Tariffs and utility financials. </w:t>
      </w:r>
      <w:r w:rsidRPr="00F10E27">
        <w:rPr>
          <w:rFonts w:ascii="Garamond" w:hAnsi="Garamond"/>
          <w:lang w:val="en-US"/>
        </w:rPr>
        <w:t>ZESCO Multi-Year Tariff Order (Energy Regulation Board, 2024–2027); cited inline in 5_Assumptions.</w:t>
      </w:r>
    </w:p>
    <w:p w14:paraId="60B76DBB"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Macroeconomic and exchange-rate path. </w:t>
      </w:r>
      <w:r w:rsidRPr="00F10E27">
        <w:rPr>
          <w:rFonts w:ascii="Garamond" w:hAnsi="Garamond"/>
          <w:lang w:val="en-US"/>
        </w:rPr>
        <w:t>Documented in the 6_Macro_FX worksheet.</w:t>
      </w:r>
    </w:p>
    <w:p w14:paraId="77F985F5"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Stakeholder-agreed parameters. </w:t>
      </w:r>
      <w:r w:rsidRPr="00F10E27">
        <w:rPr>
          <w:rFonts w:ascii="Garamond" w:hAnsi="Garamond"/>
          <w:lang w:val="en-US"/>
        </w:rPr>
        <w:t>Cost of capital (ZESCO WACC ≈5.15%; private/off-grid ≈8.925%), grant shares (90% ZESCO / 20% PrivateCo / 50% off-grid), 3% rural electrification levy, 1.25× coverage test. Documented in 5_Assumptions (sections D.2, G.1.4, G.5) and Section 5.2–5.3 of the manuscript.</w:t>
      </w:r>
    </w:p>
    <w:p w14:paraId="3A94FED7" w14:textId="77777777" w:rsidR="00E87C99" w:rsidRPr="00F10E27" w:rsidRDefault="00000000" w:rsidP="00F10E27">
      <w:pPr>
        <w:pStyle w:val="Ttulo2"/>
        <w:spacing w:before="200" w:after="100"/>
        <w:jc w:val="both"/>
        <w:rPr>
          <w:rFonts w:ascii="Garamond" w:hAnsi="Garamond"/>
          <w:lang w:val="en-US"/>
        </w:rPr>
      </w:pPr>
      <w:r w:rsidRPr="00F10E27">
        <w:rPr>
          <w:rFonts w:ascii="Garamond" w:hAnsi="Garamond"/>
          <w:b/>
          <w:bCs/>
          <w:sz w:val="25"/>
          <w:szCs w:val="25"/>
          <w:lang w:val="en-US"/>
        </w:rPr>
        <w:t>2.2 Statement about rights</w:t>
      </w:r>
    </w:p>
    <w:p w14:paraId="01015B18" w14:textId="77777777" w:rsidR="00E87C99" w:rsidRPr="00F10E27" w:rsidRDefault="00000000" w:rsidP="00F10E27">
      <w:pPr>
        <w:spacing w:after="120" w:line="276" w:lineRule="auto"/>
        <w:jc w:val="both"/>
        <w:rPr>
          <w:rFonts w:ascii="Garamond" w:hAnsi="Garamond"/>
          <w:lang w:val="en-US"/>
        </w:rPr>
      </w:pPr>
      <w:r w:rsidRPr="00F10E27">
        <w:rPr>
          <w:rFonts w:ascii="Garamond" w:hAnsi="Garamond"/>
          <w:lang w:val="en-US"/>
        </w:rPr>
        <w:t>To be certified by the authors (the primary sources above are public):</w:t>
      </w:r>
    </w:p>
    <w:p w14:paraId="2C106B28" w14:textId="72E93CF7" w:rsidR="00E87C99" w:rsidRPr="00F10E27" w:rsidRDefault="00F10E27" w:rsidP="00F10E27">
      <w:pPr>
        <w:pStyle w:val="Prrafodelista"/>
        <w:numPr>
          <w:ilvl w:val="0"/>
          <w:numId w:val="1"/>
        </w:numPr>
        <w:spacing w:after="80" w:line="276" w:lineRule="auto"/>
        <w:jc w:val="both"/>
        <w:rPr>
          <w:rFonts w:ascii="Garamond" w:hAnsi="Garamond"/>
          <w:lang w:val="en-US"/>
        </w:rPr>
      </w:pPr>
      <w:r w:rsidRPr="007E0D26">
        <w:rPr>
          <w:rFonts w:ascii="Garamond" w:hAnsi="Garamond"/>
          <w:b/>
          <w:bCs/>
          <w:lang w:val="en-US"/>
        </w:rPr>
        <w:t>[X] I certify that the author(s) have legitimate access to and permission to use the data used in this manuscript</w:t>
      </w:r>
      <w:r w:rsidRPr="00F10E27">
        <w:rPr>
          <w:rFonts w:ascii="Garamond" w:hAnsi="Garamond"/>
          <w:lang w:val="en-US"/>
        </w:rPr>
        <w:t>.</w:t>
      </w:r>
    </w:p>
    <w:p w14:paraId="0CEBA34B"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lang w:val="en-US"/>
        </w:rPr>
        <w:t>[ ] I certify that the author(s) have documented permission to redistribute/publish the data contained within this package.</w:t>
      </w:r>
    </w:p>
    <w:p w14:paraId="46E43758" w14:textId="77777777" w:rsidR="00E87C99" w:rsidRPr="00F10E27" w:rsidRDefault="00000000" w:rsidP="00F10E27">
      <w:pPr>
        <w:pStyle w:val="Ttulo1"/>
        <w:spacing w:before="280" w:after="140"/>
        <w:jc w:val="both"/>
        <w:rPr>
          <w:rFonts w:ascii="Garamond" w:hAnsi="Garamond"/>
          <w:lang w:val="en-US"/>
        </w:rPr>
      </w:pPr>
      <w:r w:rsidRPr="00F10E27">
        <w:rPr>
          <w:rFonts w:ascii="Garamond" w:hAnsi="Garamond"/>
          <w:b/>
          <w:bCs/>
          <w:sz w:val="30"/>
          <w:szCs w:val="30"/>
          <w:lang w:val="en-US"/>
        </w:rPr>
        <w:t>3. Instructions for Replicators</w:t>
      </w:r>
    </w:p>
    <w:p w14:paraId="3C2C0AEA"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Software. </w:t>
      </w:r>
      <w:r w:rsidRPr="00F10E27">
        <w:rPr>
          <w:rFonts w:ascii="Garamond" w:hAnsi="Garamond"/>
          <w:lang w:val="en-US"/>
        </w:rPr>
        <w:t>Open each workbook in Microsoft Excel 2016 or later (or Microsoft 365). No add-ins, macros, or scripts are required.</w:t>
      </w:r>
    </w:p>
    <w:p w14:paraId="00AB905F"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Iterative calculation is enabled. </w:t>
      </w:r>
      <w:r w:rsidRPr="00F10E27">
        <w:rPr>
          <w:rFonts w:ascii="Garamond" w:hAnsi="Garamond"/>
          <w:lang w:val="en-US"/>
        </w:rPr>
        <w:t xml:space="preserve">The workbooks are delivered with iterative calculation </w:t>
      </w:r>
      <w:r w:rsidRPr="00F10E27">
        <w:rPr>
          <w:rFonts w:ascii="Garamond" w:hAnsi="Garamond"/>
          <w:b/>
          <w:bCs/>
          <w:lang w:val="en-US"/>
        </w:rPr>
        <w:t>on</w:t>
      </w:r>
      <w:r w:rsidRPr="00F10E27">
        <w:rPr>
          <w:rFonts w:ascii="Garamond" w:hAnsi="Garamond"/>
          <w:lang w:val="en-US"/>
        </w:rPr>
        <w:t xml:space="preserve"> (Excel default: 100 iterations, maximum change 0.001). This is required: the cost-of-service and viability-gap solution is solved iteratively, implemented with circular references. If you open a copy where iteration is off and see a circular-reference warning, enable File → Options → Formulas → “Enable iterative calculation” and press F9.</w:t>
      </w:r>
    </w:p>
    <w:p w14:paraId="50CE4C6D"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Open and recalculate. </w:t>
      </w:r>
      <w:r w:rsidRPr="00F10E27">
        <w:rPr>
          <w:rFonts w:ascii="Garamond" w:hAnsi="Garamond"/>
          <w:lang w:val="en-US"/>
        </w:rPr>
        <w:t>Workbooks recalculate automatically on open; the reported values are also stored as the last computed (cached) results, so they are visible without recalculation.</w:t>
      </w:r>
    </w:p>
    <w:p w14:paraId="1556C91E"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Do not change inputs. </w:t>
      </w:r>
      <w:r w:rsidRPr="00F10E27">
        <w:rPr>
          <w:rFonts w:ascii="Garamond" w:hAnsi="Garamond"/>
          <w:lang w:val="en-US"/>
        </w:rPr>
        <w:t xml:space="preserve">Inputs are concentrated in the </w:t>
      </w:r>
      <w:r w:rsidRPr="00F10E27">
        <w:rPr>
          <w:rFonts w:ascii="Garamond" w:eastAsia="Consolas" w:hAnsi="Garamond" w:cs="Consolas"/>
          <w:sz w:val="20"/>
          <w:szCs w:val="20"/>
          <w:lang w:val="en-US"/>
        </w:rPr>
        <w:t>5_Assumptions</w:t>
      </w:r>
      <w:r w:rsidRPr="00F10E27">
        <w:rPr>
          <w:rFonts w:ascii="Garamond" w:hAnsi="Garamond"/>
          <w:lang w:val="en-US"/>
        </w:rPr>
        <w:t xml:space="preserve"> worksheet (blue cells are raw inputs). Changing an input recalculates and diverges from the published values. To restore, re-download the files.</w:t>
      </w:r>
    </w:p>
    <w:p w14:paraId="3D6E48D5"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Locate a value. </w:t>
      </w:r>
      <w:r w:rsidRPr="00F10E27">
        <w:rPr>
          <w:rFonts w:ascii="Garamond" w:hAnsi="Garamond"/>
          <w:lang w:val="en-US"/>
        </w:rPr>
        <w:t>Use the List of Exhibits below: it gives the workbook, worksheet, and cell for each Zambia exhibit and in-text figure.</w:t>
      </w:r>
    </w:p>
    <w:p w14:paraId="4AECF16A" w14:textId="77777777" w:rsidR="00E87C99" w:rsidRPr="00F10E27" w:rsidRDefault="00000000" w:rsidP="00F10E27">
      <w:pPr>
        <w:pStyle w:val="Ttulo1"/>
        <w:spacing w:before="280" w:after="140"/>
        <w:jc w:val="both"/>
        <w:rPr>
          <w:rFonts w:ascii="Garamond" w:hAnsi="Garamond"/>
          <w:lang w:val="en-US"/>
        </w:rPr>
      </w:pPr>
      <w:r w:rsidRPr="00F10E27">
        <w:rPr>
          <w:rFonts w:ascii="Garamond" w:hAnsi="Garamond"/>
          <w:b/>
          <w:bCs/>
          <w:sz w:val="30"/>
          <w:szCs w:val="30"/>
          <w:lang w:val="en-US"/>
        </w:rPr>
        <w:t>4. List of Exhibits</w:t>
      </w:r>
    </w:p>
    <w:p w14:paraId="7EF647C5" w14:textId="77777777" w:rsidR="00E87C99" w:rsidRPr="00F10E27" w:rsidRDefault="00000000" w:rsidP="00F10E27">
      <w:pPr>
        <w:spacing w:after="120" w:line="276" w:lineRule="auto"/>
        <w:jc w:val="both"/>
        <w:rPr>
          <w:rFonts w:ascii="Garamond" w:hAnsi="Garamond"/>
          <w:lang w:val="en-US"/>
        </w:rPr>
      </w:pPr>
      <w:r w:rsidRPr="00F10E27">
        <w:rPr>
          <w:rFonts w:ascii="Garamond" w:hAnsi="Garamond"/>
          <w:b/>
          <w:bCs/>
          <w:lang w:val="en-US"/>
        </w:rPr>
        <w:t>The provided Zambia package reproduces:</w:t>
      </w:r>
    </w:p>
    <w:p w14:paraId="492C4FB8" w14:textId="77777777" w:rsidR="00E87C99" w:rsidRPr="00F10E27" w:rsidRDefault="00000000" w:rsidP="00F10E27">
      <w:pPr>
        <w:pStyle w:val="Prrafodelista"/>
        <w:numPr>
          <w:ilvl w:val="0"/>
          <w:numId w:val="1"/>
        </w:numPr>
        <w:spacing w:after="80" w:line="276" w:lineRule="auto"/>
        <w:jc w:val="both"/>
        <w:rPr>
          <w:rFonts w:ascii="Garamond" w:hAnsi="Garamond"/>
          <w:b/>
          <w:bCs/>
          <w:lang w:val="en-US"/>
        </w:rPr>
      </w:pPr>
      <w:r w:rsidRPr="00F10E27">
        <w:rPr>
          <w:rFonts w:ascii="Garamond" w:hAnsi="Garamond"/>
          <w:b/>
          <w:bCs/>
          <w:lang w:val="en-US"/>
        </w:rPr>
        <w:t>[X] All in-text numbers in Section 5 of the paper (Zambia).</w:t>
      </w:r>
    </w:p>
    <w:p w14:paraId="43FB2920"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lang w:val="en-US"/>
        </w:rPr>
        <w:t>[ ] All tables and figures in the paper.</w:t>
      </w:r>
    </w:p>
    <w:p w14:paraId="15657DF4" w14:textId="77777777" w:rsidR="00E87C99" w:rsidRPr="00F10E27" w:rsidRDefault="00000000" w:rsidP="00F10E27">
      <w:pPr>
        <w:pStyle w:val="Prrafodelista"/>
        <w:numPr>
          <w:ilvl w:val="0"/>
          <w:numId w:val="1"/>
        </w:numPr>
        <w:spacing w:after="80" w:line="276" w:lineRule="auto"/>
        <w:jc w:val="both"/>
        <w:rPr>
          <w:rFonts w:ascii="Garamond" w:hAnsi="Garamond"/>
          <w:b/>
          <w:bCs/>
          <w:lang w:val="en-US"/>
        </w:rPr>
      </w:pPr>
      <w:r w:rsidRPr="00F10E27">
        <w:rPr>
          <w:rFonts w:ascii="Garamond" w:hAnsi="Garamond"/>
          <w:b/>
          <w:bCs/>
          <w:lang w:val="en-US"/>
        </w:rPr>
        <w:t>[X] Selected tables and figures, as explained below (the paper's Zambia exhibits; Uganda and Madagascar exhibits are out of scope for this package).</w:t>
      </w:r>
    </w:p>
    <w:p w14:paraId="719DBE7F" w14:textId="77777777" w:rsidR="00E87C99" w:rsidRPr="00F10E27" w:rsidRDefault="00000000" w:rsidP="00F10E27">
      <w:pPr>
        <w:spacing w:after="120" w:line="276" w:lineRule="auto"/>
        <w:jc w:val="both"/>
        <w:rPr>
          <w:rFonts w:ascii="Garamond" w:hAnsi="Garamond"/>
          <w:lang w:val="en-US"/>
        </w:rPr>
      </w:pPr>
      <w:r w:rsidRPr="00F10E27">
        <w:rPr>
          <w:rFonts w:ascii="Garamond" w:hAnsi="Garamond"/>
          <w:lang w:val="en-US"/>
        </w:rPr>
        <w:t>Worksheet names and cells are quoted exactly as they appear in the workbooks. Unless noted, figures are from the base-case workbook (2030); the 2040 workbook is used only for the Section 5.5 timing comparison. Headline figures are in USD millions in the cells and reported in USD billions in the manuscript.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50"/>
        <w:gridCol w:w="3750"/>
        <w:gridCol w:w="3626"/>
      </w:tblGrid>
      <w:tr w:rsidR="00E87C99" w:rsidRPr="00F10E27" w14:paraId="5738E3CC" w14:textId="77777777">
        <w:trPr>
          <w:tblHeader/>
        </w:trPr>
        <w:tc>
          <w:tcPr>
            <w:tcW w:w="1650" w:type="dxa"/>
            <w:tcBorders>
              <w:top w:val="single" w:sz="1" w:space="0" w:color="BBBBBB"/>
              <w:left w:val="single" w:sz="1" w:space="0" w:color="BBBBBB"/>
              <w:bottom w:val="single" w:sz="1" w:space="0" w:color="BBBBBB"/>
              <w:right w:val="single" w:sz="1" w:space="0" w:color="BBBBBB"/>
            </w:tcBorders>
            <w:shd w:val="clear" w:color="auto" w:fill="2E5E8C"/>
            <w:tcMar>
              <w:top w:w="60" w:type="dxa"/>
              <w:left w:w="110" w:type="dxa"/>
              <w:bottom w:w="60" w:type="dxa"/>
              <w:right w:w="110" w:type="dxa"/>
            </w:tcMar>
          </w:tcPr>
          <w:p w14:paraId="4BA20B91" w14:textId="77777777" w:rsidR="00E87C99" w:rsidRPr="00F10E27" w:rsidRDefault="00000000" w:rsidP="00F10E27">
            <w:pPr>
              <w:spacing w:after="40" w:line="252" w:lineRule="auto"/>
              <w:rPr>
                <w:rFonts w:ascii="Garamond" w:hAnsi="Garamond"/>
                <w:lang w:val="en-US"/>
              </w:rPr>
            </w:pPr>
            <w:r w:rsidRPr="00F10E27">
              <w:rPr>
                <w:rFonts w:ascii="Garamond" w:hAnsi="Garamond"/>
                <w:b/>
                <w:bCs/>
                <w:color w:val="FFFFFF"/>
                <w:lang w:val="en-US"/>
              </w:rPr>
              <w:lastRenderedPageBreak/>
              <w:t>Exhibit</w:t>
            </w:r>
          </w:p>
        </w:tc>
        <w:tc>
          <w:tcPr>
            <w:tcW w:w="3750" w:type="dxa"/>
            <w:tcBorders>
              <w:top w:val="single" w:sz="1" w:space="0" w:color="BBBBBB"/>
              <w:left w:val="single" w:sz="1" w:space="0" w:color="BBBBBB"/>
              <w:bottom w:val="single" w:sz="1" w:space="0" w:color="BBBBBB"/>
              <w:right w:val="single" w:sz="1" w:space="0" w:color="BBBBBB"/>
            </w:tcBorders>
            <w:shd w:val="clear" w:color="auto" w:fill="2E5E8C"/>
            <w:tcMar>
              <w:top w:w="60" w:type="dxa"/>
              <w:left w:w="110" w:type="dxa"/>
              <w:bottom w:w="60" w:type="dxa"/>
              <w:right w:w="110" w:type="dxa"/>
            </w:tcMar>
          </w:tcPr>
          <w:p w14:paraId="22A29611" w14:textId="59A5068A" w:rsidR="00E87C99" w:rsidRPr="00F10E27" w:rsidRDefault="00F10E27" w:rsidP="00F10E27">
            <w:pPr>
              <w:spacing w:after="40" w:line="252" w:lineRule="auto"/>
              <w:rPr>
                <w:rFonts w:ascii="Garamond" w:hAnsi="Garamond"/>
                <w:lang w:val="en-US"/>
              </w:rPr>
            </w:pPr>
            <w:r w:rsidRPr="007E0D26">
              <w:rPr>
                <w:rFonts w:ascii="Garamond" w:hAnsi="Garamond"/>
                <w:b/>
                <w:bCs/>
                <w:color w:val="FFFFFF"/>
                <w:lang w:val="en-US"/>
              </w:rPr>
              <w:t>Location in package (workbook → worksheet</w:t>
            </w:r>
            <w:r>
              <w:rPr>
                <w:rFonts w:ascii="Garamond" w:hAnsi="Garamond"/>
                <w:b/>
                <w:bCs/>
                <w:color w:val="FFFFFF"/>
                <w:lang w:val="en-US"/>
              </w:rPr>
              <w:t xml:space="preserve"> </w:t>
            </w:r>
            <w:r w:rsidRPr="007E0D26">
              <w:rPr>
                <w:rFonts w:ascii="Garamond" w:hAnsi="Garamond"/>
                <w:b/>
                <w:bCs/>
                <w:color w:val="FFFFFF"/>
                <w:lang w:val="en-US"/>
              </w:rPr>
              <w:t>→ cell)</w:t>
            </w:r>
          </w:p>
        </w:tc>
        <w:tc>
          <w:tcPr>
            <w:tcW w:w="3626" w:type="dxa"/>
            <w:tcBorders>
              <w:top w:val="single" w:sz="1" w:space="0" w:color="BBBBBB"/>
              <w:left w:val="single" w:sz="1" w:space="0" w:color="BBBBBB"/>
              <w:bottom w:val="single" w:sz="1" w:space="0" w:color="BBBBBB"/>
              <w:right w:val="single" w:sz="1" w:space="0" w:color="BBBBBB"/>
            </w:tcBorders>
            <w:shd w:val="clear" w:color="auto" w:fill="2E5E8C"/>
            <w:tcMar>
              <w:top w:w="60" w:type="dxa"/>
              <w:left w:w="110" w:type="dxa"/>
              <w:bottom w:w="60" w:type="dxa"/>
              <w:right w:w="110" w:type="dxa"/>
            </w:tcMar>
          </w:tcPr>
          <w:p w14:paraId="5263BC3A" w14:textId="77777777" w:rsidR="00E87C99" w:rsidRPr="00F10E27" w:rsidRDefault="00000000" w:rsidP="00F10E27">
            <w:pPr>
              <w:spacing w:after="40" w:line="252" w:lineRule="auto"/>
              <w:rPr>
                <w:rFonts w:ascii="Garamond" w:hAnsi="Garamond"/>
                <w:lang w:val="en-US"/>
              </w:rPr>
            </w:pPr>
            <w:r w:rsidRPr="00F10E27">
              <w:rPr>
                <w:rFonts w:ascii="Garamond" w:hAnsi="Garamond"/>
                <w:b/>
                <w:bCs/>
                <w:color w:val="FFFFFF"/>
                <w:lang w:val="en-US"/>
              </w:rPr>
              <w:t>Status / notes</w:t>
            </w:r>
          </w:p>
        </w:tc>
      </w:tr>
      <w:tr w:rsidR="00E87C99" w:rsidRPr="00F10E27" w14:paraId="51E43563" w14:textId="77777777">
        <w:tc>
          <w:tcPr>
            <w:tcW w:w="1650" w:type="dxa"/>
            <w:tcBorders>
              <w:top w:val="single" w:sz="1" w:space="0" w:color="BBBBBB"/>
              <w:left w:val="single" w:sz="1" w:space="0" w:color="BBBBBB"/>
              <w:bottom w:val="single" w:sz="1" w:space="0" w:color="BBBBBB"/>
              <w:right w:val="single" w:sz="1" w:space="0" w:color="BBBBBB"/>
            </w:tcBorders>
            <w:shd w:val="clear" w:color="auto" w:fill="EAF2FA"/>
            <w:tcMar>
              <w:top w:w="60" w:type="dxa"/>
              <w:left w:w="110" w:type="dxa"/>
              <w:bottom w:w="60" w:type="dxa"/>
              <w:right w:w="110" w:type="dxa"/>
            </w:tcMar>
          </w:tcPr>
          <w:p w14:paraId="3C87E413"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Table 2</w:t>
            </w:r>
            <w:r w:rsidRPr="00F10E27">
              <w:rPr>
                <w:rFonts w:ascii="Garamond" w:hAnsi="Garamond"/>
                <w:lang w:val="en-US"/>
              </w:rPr>
              <w:t xml:space="preserve"> — Zambia: the five layers that must not be conflated</w:t>
            </w:r>
          </w:p>
        </w:tc>
        <w:tc>
          <w:tcPr>
            <w:tcW w:w="3750" w:type="dxa"/>
            <w:tcBorders>
              <w:top w:val="single" w:sz="1" w:space="0" w:color="BBBBBB"/>
              <w:left w:val="single" w:sz="1" w:space="0" w:color="BBBBBB"/>
              <w:bottom w:val="single" w:sz="1" w:space="0" w:color="BBBBBB"/>
              <w:right w:val="single" w:sz="1" w:space="0" w:color="BBBBBB"/>
            </w:tcBorders>
            <w:shd w:val="clear" w:color="auto" w:fill="EAF2FA"/>
            <w:tcMar>
              <w:top w:w="60" w:type="dxa"/>
              <w:left w:w="110" w:type="dxa"/>
              <w:bottom w:w="60" w:type="dxa"/>
              <w:right w:w="110" w:type="dxa"/>
            </w:tcMar>
          </w:tcPr>
          <w:p w14:paraId="44457402"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 xml:space="preserve">2030.xlsx: </w:t>
            </w:r>
            <w:r w:rsidRPr="00F10E27">
              <w:rPr>
                <w:rFonts w:ascii="Garamond" w:hAnsi="Garamond"/>
                <w:lang w:val="en-US"/>
              </w:rPr>
              <w:t xml:space="preserve">REMP investment </w:t>
            </w:r>
            <w:r w:rsidRPr="00F10E27">
              <w:rPr>
                <w:rFonts w:ascii="Garamond" w:eastAsia="Consolas" w:hAnsi="Garamond" w:cs="Consolas"/>
                <w:sz w:val="20"/>
                <w:szCs w:val="20"/>
                <w:lang w:val="en-US"/>
              </w:rPr>
              <w:t>4_CS_Full_Sector!Q99</w:t>
            </w:r>
            <w:r w:rsidRPr="00F10E27">
              <w:rPr>
                <w:rFonts w:ascii="Garamond" w:hAnsi="Garamond"/>
                <w:lang w:val="en-US"/>
              </w:rPr>
              <w:t xml:space="preserve"> (1.52 bn); lifetime program CAPEX </w:t>
            </w:r>
            <w:r w:rsidRPr="00F10E27">
              <w:rPr>
                <w:rFonts w:ascii="Garamond" w:eastAsia="Consolas" w:hAnsi="Garamond" w:cs="Consolas"/>
                <w:sz w:val="20"/>
                <w:szCs w:val="20"/>
                <w:lang w:val="en-US"/>
              </w:rPr>
              <w:t>1_Executive_Summary!O33</w:t>
            </w:r>
            <w:r w:rsidRPr="00F10E27">
              <w:rPr>
                <w:rFonts w:ascii="Garamond" w:hAnsi="Garamond"/>
                <w:lang w:val="en-US"/>
              </w:rPr>
              <w:t xml:space="preserve"> (3,309 m); donor request </w:t>
            </w:r>
            <w:r w:rsidRPr="00F10E27">
              <w:rPr>
                <w:rFonts w:ascii="Garamond" w:eastAsia="Consolas" w:hAnsi="Garamond" w:cs="Consolas"/>
                <w:sz w:val="20"/>
                <w:szCs w:val="20"/>
                <w:lang w:val="en-US"/>
              </w:rPr>
              <w:t>1_Executive_Summary!B10</w:t>
            </w:r>
            <w:r w:rsidRPr="00F10E27">
              <w:rPr>
                <w:rFonts w:ascii="Garamond" w:hAnsi="Garamond"/>
                <w:lang w:val="en-US"/>
              </w:rPr>
              <w:t xml:space="preserve"> (1,096 m); net viability-gap disbursements </w:t>
            </w:r>
            <w:r w:rsidRPr="00F10E27">
              <w:rPr>
                <w:rFonts w:ascii="Garamond" w:eastAsia="Consolas" w:hAnsi="Garamond" w:cs="Consolas"/>
                <w:sz w:val="20"/>
                <w:szCs w:val="20"/>
                <w:lang w:val="en-US"/>
              </w:rPr>
              <w:t>3_Sector_Dashboard!F156</w:t>
            </w:r>
            <w:r w:rsidRPr="00F10E27">
              <w:rPr>
                <w:rFonts w:ascii="Garamond" w:hAnsi="Garamond"/>
                <w:lang w:val="en-US"/>
              </w:rPr>
              <w:t xml:space="preserve"> (4,769 m); Finance-Co sources = uses </w:t>
            </w:r>
            <w:r w:rsidRPr="00F10E27">
              <w:rPr>
                <w:rFonts w:ascii="Garamond" w:eastAsia="Consolas" w:hAnsi="Garamond" w:cs="Consolas"/>
                <w:sz w:val="20"/>
                <w:szCs w:val="20"/>
                <w:lang w:val="en-US"/>
              </w:rPr>
              <w:t>1_Executive_Summary!F31</w:t>
            </w:r>
            <w:r w:rsidRPr="00F10E27">
              <w:rPr>
                <w:rFonts w:ascii="Garamond" w:hAnsi="Garamond"/>
                <w:lang w:val="en-US"/>
              </w:rPr>
              <w:t xml:space="preserve"> (6,156 m).</w:t>
            </w:r>
          </w:p>
        </w:tc>
        <w:tc>
          <w:tcPr>
            <w:tcW w:w="3626" w:type="dxa"/>
            <w:tcBorders>
              <w:top w:val="single" w:sz="1" w:space="0" w:color="BBBBBB"/>
              <w:left w:val="single" w:sz="1" w:space="0" w:color="BBBBBB"/>
              <w:bottom w:val="single" w:sz="1" w:space="0" w:color="BBBBBB"/>
              <w:right w:val="single" w:sz="1" w:space="0" w:color="BBBBBB"/>
            </w:tcBorders>
            <w:shd w:val="clear" w:color="auto" w:fill="EAF2FA"/>
            <w:tcMar>
              <w:top w:w="60" w:type="dxa"/>
              <w:left w:w="110" w:type="dxa"/>
              <w:bottom w:w="60" w:type="dxa"/>
              <w:right w:w="110" w:type="dxa"/>
            </w:tcMar>
          </w:tcPr>
          <w:p w14:paraId="37805907"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 xml:space="preserve">Reproduced. </w:t>
            </w:r>
            <w:r w:rsidRPr="00F10E27">
              <w:rPr>
                <w:rFonts w:ascii="Garamond" w:hAnsi="Garamond"/>
                <w:lang w:val="en-US"/>
              </w:rPr>
              <w:t xml:space="preserve">Matches the workbook to full precision. The donor request decomposes as capital grants </w:t>
            </w:r>
            <w:r w:rsidRPr="00F10E27">
              <w:rPr>
                <w:rFonts w:ascii="Garamond" w:eastAsia="Consolas" w:hAnsi="Garamond" w:cs="Consolas"/>
                <w:sz w:val="20"/>
                <w:szCs w:val="20"/>
                <w:lang w:val="en-US"/>
              </w:rPr>
              <w:t>O8</w:t>
            </w:r>
            <w:r w:rsidRPr="00F10E27">
              <w:rPr>
                <w:rFonts w:ascii="Garamond" w:hAnsi="Garamond"/>
                <w:lang w:val="en-US"/>
              </w:rPr>
              <w:t xml:space="preserve"> (851 m) + rural operating shortfall </w:t>
            </w:r>
            <w:r w:rsidRPr="00F10E27">
              <w:rPr>
                <w:rFonts w:ascii="Garamond" w:eastAsia="Consolas" w:hAnsi="Garamond" w:cs="Consolas"/>
                <w:sz w:val="20"/>
                <w:szCs w:val="20"/>
                <w:lang w:val="en-US"/>
              </w:rPr>
              <w:t>O9</w:t>
            </w:r>
            <w:r w:rsidRPr="00F10E27">
              <w:rPr>
                <w:rFonts w:ascii="Garamond" w:hAnsi="Garamond"/>
                <w:lang w:val="en-US"/>
              </w:rPr>
              <w:t xml:space="preserve"> (244.8 m) = 1,096 m. The five figures are distinct measures, funded by different parties over different horizons.</w:t>
            </w:r>
          </w:p>
        </w:tc>
      </w:tr>
      <w:tr w:rsidR="00E87C99" w:rsidRPr="00F10E27" w14:paraId="0A89EA31" w14:textId="77777777">
        <w:tc>
          <w:tcPr>
            <w:tcW w:w="16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3AE0FA9F"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Least-cost rollout (REMP)</w:t>
            </w:r>
            <w:r w:rsidRPr="00F10E27">
              <w:rPr>
                <w:rFonts w:ascii="Garamond" w:hAnsi="Garamond"/>
                <w:lang w:val="en-US"/>
              </w:rPr>
              <w:t xml:space="preserve"> — values reported in the text of Section 5.1</w:t>
            </w:r>
          </w:p>
        </w:tc>
        <w:tc>
          <w:tcPr>
            <w:tcW w:w="37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63FB6F90" w14:textId="77777777" w:rsidR="00E87C99" w:rsidRPr="00F10E27" w:rsidRDefault="00000000" w:rsidP="00F10E27">
            <w:pPr>
              <w:spacing w:after="40" w:line="252" w:lineRule="auto"/>
              <w:rPr>
                <w:rFonts w:ascii="Garamond" w:hAnsi="Garamond"/>
                <w:lang w:val="en-US"/>
              </w:rPr>
            </w:pPr>
            <w:r w:rsidRPr="00F10E27">
              <w:rPr>
                <w:rFonts w:ascii="Garamond" w:eastAsia="Consolas" w:hAnsi="Garamond" w:cs="Consolas"/>
                <w:sz w:val="20"/>
                <w:szCs w:val="20"/>
                <w:lang w:val="en-US"/>
              </w:rPr>
              <w:t>2030.xlsx</w:t>
            </w:r>
            <w:r w:rsidRPr="00F10E27">
              <w:rPr>
                <w:rFonts w:ascii="Garamond" w:hAnsi="Garamond"/>
                <w:lang w:val="en-US"/>
              </w:rPr>
              <w:t xml:space="preserve">: connection targets in </w:t>
            </w:r>
            <w:r w:rsidRPr="00F10E27">
              <w:rPr>
                <w:rFonts w:ascii="Garamond" w:eastAsia="Consolas" w:hAnsi="Garamond" w:cs="Consolas"/>
                <w:sz w:val="20"/>
                <w:szCs w:val="20"/>
                <w:lang w:val="en-US"/>
              </w:rPr>
              <w:t>5_Assumptions</w:t>
            </w:r>
            <w:r w:rsidRPr="00F10E27">
              <w:rPr>
                <w:rFonts w:ascii="Garamond" w:hAnsi="Garamond"/>
                <w:lang w:val="en-US"/>
              </w:rPr>
              <w:t xml:space="preserve"> (grid </w:t>
            </w:r>
            <w:r w:rsidRPr="00F10E27">
              <w:rPr>
                <w:rFonts w:ascii="Garamond" w:eastAsia="Consolas" w:hAnsi="Garamond" w:cs="Consolas"/>
                <w:sz w:val="20"/>
                <w:szCs w:val="20"/>
                <w:lang w:val="en-US"/>
              </w:rPr>
              <w:t>I34</w:t>
            </w:r>
            <w:r w:rsidRPr="00F10E27">
              <w:rPr>
                <w:rFonts w:ascii="Garamond" w:hAnsi="Garamond"/>
                <w:lang w:val="en-US"/>
              </w:rPr>
              <w:t xml:space="preserve">, mini-grid </w:t>
            </w:r>
            <w:r w:rsidRPr="00F10E27">
              <w:rPr>
                <w:rFonts w:ascii="Garamond" w:eastAsia="Consolas" w:hAnsi="Garamond" w:cs="Consolas"/>
                <w:sz w:val="20"/>
                <w:szCs w:val="20"/>
                <w:lang w:val="en-US"/>
              </w:rPr>
              <w:t>I35</w:t>
            </w:r>
            <w:r w:rsidRPr="00F10E27">
              <w:rPr>
                <w:rFonts w:ascii="Garamond" w:hAnsi="Garamond"/>
                <w:lang w:val="en-US"/>
              </w:rPr>
              <w:t xml:space="preserve">); CAPEX by mode in </w:t>
            </w:r>
            <w:r w:rsidRPr="00F10E27">
              <w:rPr>
                <w:rFonts w:ascii="Garamond" w:eastAsia="Consolas" w:hAnsi="Garamond" w:cs="Consolas"/>
                <w:sz w:val="20"/>
                <w:szCs w:val="20"/>
                <w:lang w:val="en-US"/>
              </w:rPr>
              <w:t>3_Sector_Dashboard</w:t>
            </w:r>
            <w:r w:rsidRPr="00F10E27">
              <w:rPr>
                <w:rFonts w:ascii="Garamond" w:hAnsi="Garamond"/>
                <w:lang w:val="en-US"/>
              </w:rPr>
              <w:t xml:space="preserve"> and </w:t>
            </w:r>
            <w:r w:rsidRPr="00F10E27">
              <w:rPr>
                <w:rFonts w:ascii="Garamond" w:eastAsia="Consolas" w:hAnsi="Garamond" w:cs="Consolas"/>
                <w:sz w:val="20"/>
                <w:szCs w:val="20"/>
                <w:lang w:val="en-US"/>
              </w:rPr>
              <w:t>4_CS_Full_Sector</w:t>
            </w:r>
            <w:r w:rsidRPr="00F10E27">
              <w:rPr>
                <w:rFonts w:ascii="Garamond" w:hAnsi="Garamond"/>
                <w:lang w:val="en-US"/>
              </w:rPr>
              <w:t>.</w:t>
            </w:r>
          </w:p>
        </w:tc>
        <w:tc>
          <w:tcPr>
            <w:tcW w:w="3626"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3FF3E44B"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 xml:space="preserve">Reproduced. </w:t>
            </w:r>
            <w:r w:rsidRPr="00F10E27">
              <w:rPr>
                <w:rFonts w:ascii="Garamond" w:hAnsi="Garamond"/>
                <w:lang w:val="en-US"/>
              </w:rPr>
              <w:t>≈1.52 bn and ≈2.5 m connections: 739,560 grid (USD 621.8 m), 328,304 mini-grid (USD 610.1 m), 1,440,007 stand-alone (USD 288.0 m); components sum to ≈1,520 m.</w:t>
            </w:r>
          </w:p>
        </w:tc>
      </w:tr>
      <w:tr w:rsidR="00E87C99" w:rsidRPr="00F10E27" w14:paraId="66B8FD3B" w14:textId="77777777">
        <w:tc>
          <w:tcPr>
            <w:tcW w:w="16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67E9FE37"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Delivery split, cost of capital, lifetime viability gaps</w:t>
            </w:r>
            <w:r w:rsidRPr="00F10E27">
              <w:rPr>
                <w:rFonts w:ascii="Garamond" w:hAnsi="Garamond"/>
                <w:lang w:val="en-US"/>
              </w:rPr>
              <w:t xml:space="preserve"> — Section 5.2</w:t>
            </w:r>
          </w:p>
        </w:tc>
        <w:tc>
          <w:tcPr>
            <w:tcW w:w="37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16CA6876" w14:textId="77777777" w:rsidR="00E87C99" w:rsidRPr="00F10E27" w:rsidRDefault="00000000" w:rsidP="00F10E27">
            <w:pPr>
              <w:spacing w:after="40" w:line="252" w:lineRule="auto"/>
              <w:rPr>
                <w:rFonts w:ascii="Garamond" w:hAnsi="Garamond"/>
                <w:lang w:val="en-US"/>
              </w:rPr>
            </w:pPr>
            <w:r w:rsidRPr="00F10E27">
              <w:rPr>
                <w:rFonts w:ascii="Garamond" w:eastAsia="Consolas" w:hAnsi="Garamond" w:cs="Consolas"/>
                <w:sz w:val="20"/>
                <w:szCs w:val="20"/>
                <w:lang w:val="en-US"/>
              </w:rPr>
              <w:t>2030.xlsx</w:t>
            </w:r>
            <w:r w:rsidRPr="00F10E27">
              <w:rPr>
                <w:rFonts w:ascii="Garamond" w:hAnsi="Garamond"/>
                <w:lang w:val="en-US"/>
              </w:rPr>
              <w:t xml:space="preserve"> → </w:t>
            </w:r>
            <w:r w:rsidRPr="00F10E27">
              <w:rPr>
                <w:rFonts w:ascii="Garamond" w:eastAsia="Consolas" w:hAnsi="Garamond" w:cs="Consolas"/>
                <w:sz w:val="20"/>
                <w:szCs w:val="20"/>
                <w:lang w:val="en-US"/>
              </w:rPr>
              <w:t>5_Assumptions</w:t>
            </w:r>
            <w:r w:rsidRPr="00F10E27">
              <w:rPr>
                <w:rFonts w:ascii="Garamond" w:hAnsi="Garamond"/>
                <w:lang w:val="en-US"/>
              </w:rPr>
              <w:t xml:space="preserve">: grant shares </w:t>
            </w:r>
            <w:r w:rsidRPr="00F10E27">
              <w:rPr>
                <w:rFonts w:ascii="Garamond" w:eastAsia="Consolas" w:hAnsi="Garamond" w:cs="Consolas"/>
                <w:sz w:val="20"/>
                <w:szCs w:val="20"/>
                <w:lang w:val="en-US"/>
              </w:rPr>
              <w:t>B62/C62/D62</w:t>
            </w:r>
            <w:r w:rsidRPr="00F10E27">
              <w:rPr>
                <w:rFonts w:ascii="Garamond" w:hAnsi="Garamond"/>
                <w:lang w:val="en-US"/>
              </w:rPr>
              <w:t xml:space="preserve"> (0.90/0.20/0.50); WACC </w:t>
            </w:r>
            <w:r w:rsidRPr="00F10E27">
              <w:rPr>
                <w:rFonts w:ascii="Garamond" w:eastAsia="Consolas" w:hAnsi="Garamond" w:cs="Consolas"/>
                <w:sz w:val="20"/>
                <w:szCs w:val="20"/>
                <w:lang w:val="en-US"/>
              </w:rPr>
              <w:t>D275</w:t>
            </w:r>
            <w:r w:rsidRPr="00F10E27">
              <w:rPr>
                <w:rFonts w:ascii="Garamond" w:hAnsi="Garamond"/>
                <w:lang w:val="en-US"/>
              </w:rPr>
              <w:t xml:space="preserve"> (ZESCO 5.15%), </w:t>
            </w:r>
            <w:r w:rsidRPr="00F10E27">
              <w:rPr>
                <w:rFonts w:ascii="Garamond" w:eastAsia="Consolas" w:hAnsi="Garamond" w:cs="Consolas"/>
                <w:sz w:val="20"/>
                <w:szCs w:val="20"/>
                <w:lang w:val="en-US"/>
              </w:rPr>
              <w:t>D276–D278</w:t>
            </w:r>
            <w:r w:rsidRPr="00F10E27">
              <w:rPr>
                <w:rFonts w:ascii="Garamond" w:hAnsi="Garamond"/>
                <w:lang w:val="en-US"/>
              </w:rPr>
              <w:t xml:space="preserve"> (≈8.9%). Gaps in </w:t>
            </w:r>
            <w:r w:rsidRPr="00F10E27">
              <w:rPr>
                <w:rFonts w:ascii="Garamond" w:eastAsia="Consolas" w:hAnsi="Garamond" w:cs="Consolas"/>
                <w:sz w:val="20"/>
                <w:szCs w:val="20"/>
                <w:lang w:val="en-US"/>
              </w:rPr>
              <w:t>1_Executive_Summary</w:t>
            </w:r>
            <w:r w:rsidRPr="00F10E27">
              <w:rPr>
                <w:rFonts w:ascii="Garamond" w:hAnsi="Garamond"/>
                <w:lang w:val="en-US"/>
              </w:rPr>
              <w:t xml:space="preserve">: ZESCO </w:t>
            </w:r>
            <w:r w:rsidRPr="00F10E27">
              <w:rPr>
                <w:rFonts w:ascii="Garamond" w:eastAsia="Consolas" w:hAnsi="Garamond" w:cs="Consolas"/>
                <w:sz w:val="20"/>
                <w:szCs w:val="20"/>
                <w:lang w:val="en-US"/>
              </w:rPr>
              <w:t>L28</w:t>
            </w:r>
            <w:r w:rsidRPr="00F10E27">
              <w:rPr>
                <w:rFonts w:ascii="Garamond" w:hAnsi="Garamond"/>
                <w:lang w:val="en-US"/>
              </w:rPr>
              <w:t xml:space="preserve">, PrivateCo </w:t>
            </w:r>
            <w:r w:rsidRPr="00F10E27">
              <w:rPr>
                <w:rFonts w:ascii="Garamond" w:eastAsia="Consolas" w:hAnsi="Garamond" w:cs="Consolas"/>
                <w:sz w:val="20"/>
                <w:szCs w:val="20"/>
                <w:lang w:val="en-US"/>
              </w:rPr>
              <w:t>F45</w:t>
            </w:r>
            <w:r w:rsidRPr="00F10E27">
              <w:rPr>
                <w:rFonts w:ascii="Garamond" w:hAnsi="Garamond"/>
                <w:lang w:val="en-US"/>
              </w:rPr>
              <w:t>.</w:t>
            </w:r>
          </w:p>
        </w:tc>
        <w:tc>
          <w:tcPr>
            <w:tcW w:w="3626"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6E164098"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 xml:space="preserve">Reproduced. </w:t>
            </w:r>
            <w:r w:rsidRPr="00F10E27">
              <w:rPr>
                <w:rFonts w:ascii="Garamond" w:hAnsi="Garamond"/>
                <w:lang w:val="en-US"/>
              </w:rPr>
              <w:t>60% ZESCO / 40% PrivateCo (grid) + off-grid SPV; cost of capital ZESCO ≈5% vs private/off-grid ≈9%; lifetime viability gap ZESCO 341 m, PrivateCo 957 m.</w:t>
            </w:r>
          </w:p>
        </w:tc>
      </w:tr>
      <w:tr w:rsidR="00E87C99" w:rsidRPr="00F10E27" w14:paraId="30B9B7E4" w14:textId="77777777">
        <w:tc>
          <w:tcPr>
            <w:tcW w:w="16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61D79D91"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The 3% levy and the order of sources</w:t>
            </w:r>
            <w:r w:rsidRPr="00F10E27">
              <w:rPr>
                <w:rFonts w:ascii="Garamond" w:hAnsi="Garamond"/>
                <w:lang w:val="en-US"/>
              </w:rPr>
              <w:t xml:space="preserve"> — Section 5.3</w:t>
            </w:r>
          </w:p>
        </w:tc>
        <w:tc>
          <w:tcPr>
            <w:tcW w:w="37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27C4BB6A" w14:textId="77777777" w:rsidR="00E87C99" w:rsidRPr="00F10E27" w:rsidRDefault="00000000" w:rsidP="00F10E27">
            <w:pPr>
              <w:spacing w:after="40" w:line="252" w:lineRule="auto"/>
              <w:rPr>
                <w:rFonts w:ascii="Garamond" w:hAnsi="Garamond"/>
                <w:lang w:val="en-US"/>
              </w:rPr>
            </w:pPr>
            <w:r w:rsidRPr="00F10E27">
              <w:rPr>
                <w:rFonts w:ascii="Garamond" w:eastAsia="Consolas" w:hAnsi="Garamond" w:cs="Consolas"/>
                <w:sz w:val="20"/>
                <w:szCs w:val="20"/>
                <w:lang w:val="en-US"/>
              </w:rPr>
              <w:t>2030.xlsx</w:t>
            </w:r>
            <w:r w:rsidRPr="00F10E27">
              <w:rPr>
                <w:rFonts w:ascii="Garamond" w:hAnsi="Garamond"/>
                <w:lang w:val="en-US"/>
              </w:rPr>
              <w:t xml:space="preserve"> → </w:t>
            </w:r>
            <w:r w:rsidRPr="00F10E27">
              <w:rPr>
                <w:rFonts w:ascii="Garamond" w:eastAsia="Consolas" w:hAnsi="Garamond" w:cs="Consolas"/>
                <w:sz w:val="20"/>
                <w:szCs w:val="20"/>
                <w:lang w:val="en-US"/>
              </w:rPr>
              <w:t>5_Assumptions</w:t>
            </w:r>
            <w:r w:rsidRPr="00F10E27">
              <w:rPr>
                <w:rFonts w:ascii="Garamond" w:hAnsi="Garamond"/>
                <w:lang w:val="en-US"/>
              </w:rPr>
              <w:t xml:space="preserve">: levy </w:t>
            </w:r>
            <w:r w:rsidRPr="00F10E27">
              <w:rPr>
                <w:rFonts w:ascii="Garamond" w:eastAsia="Consolas" w:hAnsi="Garamond" w:cs="Consolas"/>
                <w:sz w:val="20"/>
                <w:szCs w:val="20"/>
                <w:lang w:val="en-US"/>
              </w:rPr>
              <w:t>D132</w:t>
            </w:r>
            <w:r w:rsidRPr="00F10E27">
              <w:rPr>
                <w:rFonts w:ascii="Garamond" w:hAnsi="Garamond"/>
                <w:lang w:val="en-US"/>
              </w:rPr>
              <w:t xml:space="preserve"> (0.03), donor-grant share </w:t>
            </w:r>
            <w:r w:rsidRPr="00F10E27">
              <w:rPr>
                <w:rFonts w:ascii="Garamond" w:eastAsia="Consolas" w:hAnsi="Garamond" w:cs="Consolas"/>
                <w:sz w:val="20"/>
                <w:szCs w:val="20"/>
                <w:lang w:val="en-US"/>
              </w:rPr>
              <w:t>D429</w:t>
            </w:r>
            <w:r w:rsidRPr="00F10E27">
              <w:rPr>
                <w:rFonts w:ascii="Garamond" w:hAnsi="Garamond"/>
                <w:lang w:val="en-US"/>
              </w:rPr>
              <w:t xml:space="preserve"> (0.50), coverage test </w:t>
            </w:r>
            <w:r w:rsidRPr="00F10E27">
              <w:rPr>
                <w:rFonts w:ascii="Garamond" w:eastAsia="Consolas" w:hAnsi="Garamond" w:cs="Consolas"/>
                <w:sz w:val="20"/>
                <w:szCs w:val="20"/>
                <w:lang w:val="en-US"/>
              </w:rPr>
              <w:t>D430</w:t>
            </w:r>
            <w:r w:rsidRPr="00F10E27">
              <w:rPr>
                <w:rFonts w:ascii="Garamond" w:hAnsi="Garamond"/>
                <w:lang w:val="en-US"/>
              </w:rPr>
              <w:t xml:space="preserve"> (1.25). Concessional debt </w:t>
            </w:r>
            <w:r w:rsidRPr="00F10E27">
              <w:rPr>
                <w:rFonts w:ascii="Garamond" w:eastAsia="Consolas" w:hAnsi="Garamond" w:cs="Consolas"/>
                <w:sz w:val="20"/>
                <w:szCs w:val="20"/>
                <w:lang w:val="en-US"/>
              </w:rPr>
              <w:t>1_Executive_Summary!L34</w:t>
            </w:r>
            <w:r w:rsidRPr="00F10E27">
              <w:rPr>
                <w:rFonts w:ascii="Garamond" w:hAnsi="Garamond"/>
                <w:lang w:val="en-US"/>
              </w:rPr>
              <w:t xml:space="preserve">; financing requirement </w:t>
            </w:r>
            <w:r w:rsidRPr="00F10E27">
              <w:rPr>
                <w:rFonts w:ascii="Garamond" w:eastAsia="Consolas" w:hAnsi="Garamond" w:cs="Consolas"/>
                <w:sz w:val="20"/>
                <w:szCs w:val="20"/>
                <w:lang w:val="en-US"/>
              </w:rPr>
              <w:t>3_Sector_Dashboard!F123</w:t>
            </w:r>
            <w:r w:rsidRPr="00F10E27">
              <w:rPr>
                <w:rFonts w:ascii="Garamond" w:hAnsi="Garamond"/>
                <w:lang w:val="en-US"/>
              </w:rPr>
              <w:t>.</w:t>
            </w:r>
          </w:p>
        </w:tc>
        <w:tc>
          <w:tcPr>
            <w:tcW w:w="3626"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41568F06"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 xml:space="preserve">Reproduced. </w:t>
            </w:r>
            <w:r w:rsidRPr="00F10E27">
              <w:rPr>
                <w:rFonts w:ascii="Garamond" w:hAnsi="Garamond"/>
                <w:lang w:val="en-US"/>
              </w:rPr>
              <w:t>Donor request 1,096 m (851 + 245); grants peak 382.9 m (</w:t>
            </w:r>
            <w:r w:rsidRPr="00F10E27">
              <w:rPr>
                <w:rFonts w:ascii="Garamond" w:eastAsia="Consolas" w:hAnsi="Garamond" w:cs="Consolas"/>
                <w:sz w:val="20"/>
                <w:szCs w:val="20"/>
                <w:lang w:val="en-US"/>
              </w:rPr>
              <w:t>1_Executive_Summary!O53</w:t>
            </w:r>
            <w:r w:rsidRPr="00F10E27">
              <w:rPr>
                <w:rFonts w:ascii="Garamond" w:hAnsi="Garamond"/>
                <w:lang w:val="en-US"/>
              </w:rPr>
              <w:t xml:space="preserve">) and fall to ~0 from 2037; leverage ~1:1 (~1,066 m private + commercial, </w:t>
            </w:r>
            <w:r w:rsidRPr="00F10E27">
              <w:rPr>
                <w:rFonts w:ascii="Garamond" w:eastAsia="Consolas" w:hAnsi="Garamond" w:cs="Consolas"/>
                <w:sz w:val="20"/>
                <w:szCs w:val="20"/>
                <w:lang w:val="en-US"/>
              </w:rPr>
              <w:t>K10</w:t>
            </w:r>
            <w:r w:rsidRPr="00F10E27">
              <w:rPr>
                <w:rFonts w:ascii="Garamond" w:hAnsi="Garamond"/>
                <w:lang w:val="en-US"/>
              </w:rPr>
              <w:t xml:space="preserve">). Concessional debt ≈336 m vs 1,270 m requirement — </w:t>
            </w:r>
            <w:r w:rsidRPr="00F10E27">
              <w:rPr>
                <w:rFonts w:ascii="Garamond" w:hAnsi="Garamond"/>
                <w:b/>
                <w:bCs/>
                <w:lang w:val="en-US"/>
              </w:rPr>
              <w:t>the manuscript rounds this to ~337 m.</w:t>
            </w:r>
          </w:p>
        </w:tc>
      </w:tr>
      <w:tr w:rsidR="00E87C99" w:rsidRPr="00F10E27" w14:paraId="28ED27C4" w14:textId="77777777">
        <w:tc>
          <w:tcPr>
            <w:tcW w:w="16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5FD07015"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ZESCO's inherited financial burden</w:t>
            </w:r>
            <w:r w:rsidRPr="00F10E27">
              <w:rPr>
                <w:rFonts w:ascii="Garamond" w:hAnsi="Garamond"/>
                <w:lang w:val="en-US"/>
              </w:rPr>
              <w:t xml:space="preserve"> — Section 5.4</w:t>
            </w:r>
          </w:p>
        </w:tc>
        <w:tc>
          <w:tcPr>
            <w:tcW w:w="37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5A68AFB1" w14:textId="77777777" w:rsidR="00E87C99" w:rsidRPr="00F10E27" w:rsidRDefault="00000000" w:rsidP="00F10E27">
            <w:pPr>
              <w:spacing w:after="40" w:line="252" w:lineRule="auto"/>
              <w:rPr>
                <w:rFonts w:ascii="Garamond" w:hAnsi="Garamond"/>
                <w:lang w:val="en-US"/>
              </w:rPr>
            </w:pPr>
            <w:r w:rsidRPr="00F10E27">
              <w:rPr>
                <w:rFonts w:ascii="Garamond" w:eastAsia="Consolas" w:hAnsi="Garamond" w:cs="Consolas"/>
                <w:sz w:val="20"/>
                <w:szCs w:val="20"/>
                <w:lang w:val="en-US"/>
              </w:rPr>
              <w:t>2030.xlsx</w:t>
            </w:r>
            <w:r w:rsidRPr="00F10E27">
              <w:rPr>
                <w:rFonts w:ascii="Garamond" w:hAnsi="Garamond"/>
                <w:lang w:val="en-US"/>
              </w:rPr>
              <w:t xml:space="preserve">: </w:t>
            </w:r>
            <w:r w:rsidRPr="00F10E27">
              <w:rPr>
                <w:rFonts w:ascii="Garamond" w:eastAsia="Consolas" w:hAnsi="Garamond" w:cs="Consolas"/>
                <w:sz w:val="20"/>
                <w:szCs w:val="20"/>
                <w:lang w:val="en-US"/>
              </w:rPr>
              <w:t>1_Executive_Summary!O20</w:t>
            </w:r>
            <w:r w:rsidRPr="00F10E27">
              <w:rPr>
                <w:rFonts w:ascii="Garamond" w:hAnsi="Garamond"/>
                <w:lang w:val="en-US"/>
              </w:rPr>
              <w:t xml:space="preserve"> (supplier invoices), </w:t>
            </w:r>
            <w:r w:rsidRPr="00F10E27">
              <w:rPr>
                <w:rFonts w:ascii="Garamond" w:eastAsia="Consolas" w:hAnsi="Garamond" w:cs="Consolas"/>
                <w:sz w:val="20"/>
                <w:szCs w:val="20"/>
                <w:lang w:val="en-US"/>
              </w:rPr>
              <w:t>O21</w:t>
            </w:r>
            <w:r w:rsidRPr="00F10E27">
              <w:rPr>
                <w:rFonts w:ascii="Garamond" w:hAnsi="Garamond"/>
                <w:lang w:val="en-US"/>
              </w:rPr>
              <w:t xml:space="preserve"> (pre-existing debt); modeled in </w:t>
            </w:r>
            <w:r w:rsidRPr="00F10E27">
              <w:rPr>
                <w:rFonts w:ascii="Garamond" w:eastAsia="Consolas" w:hAnsi="Garamond" w:cs="Consolas"/>
                <w:sz w:val="20"/>
                <w:szCs w:val="20"/>
                <w:lang w:val="en-US"/>
              </w:rPr>
              <w:t>8_ZESCO_Legacy</w:t>
            </w:r>
            <w:r w:rsidRPr="00F10E27">
              <w:rPr>
                <w:rFonts w:ascii="Garamond" w:hAnsi="Garamond"/>
                <w:lang w:val="en-US"/>
              </w:rPr>
              <w:t xml:space="preserve"> and the ZESCO statement sheets.</w:t>
            </w:r>
          </w:p>
        </w:tc>
        <w:tc>
          <w:tcPr>
            <w:tcW w:w="3626"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7D28FFE0"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 xml:space="preserve">Reproduced. </w:t>
            </w:r>
            <w:r w:rsidRPr="00F10E27">
              <w:rPr>
                <w:rFonts w:ascii="Garamond" w:hAnsi="Garamond"/>
                <w:lang w:val="en-US"/>
              </w:rPr>
              <w:t xml:space="preserve">Unpaid supplier invoices ≈2,245 m; pre-existing debt ≈3,524 m (2025). Modeled in ZESCO's accounts but </w:t>
            </w:r>
            <w:r w:rsidRPr="00F10E27">
              <w:rPr>
                <w:rFonts w:ascii="Garamond" w:hAnsi="Garamond"/>
                <w:b/>
                <w:bCs/>
                <w:lang w:val="en-US"/>
              </w:rPr>
              <w:t>kept outside the rural-access aggregates</w:t>
            </w:r>
            <w:r w:rsidRPr="00F10E27">
              <w:rPr>
                <w:rFonts w:ascii="Garamond" w:hAnsi="Garamond"/>
                <w:lang w:val="en-US"/>
              </w:rPr>
              <w:t xml:space="preserve"> (investment, subsidy, donor request, Finance-Co) — see the verifier note in Section 6.</w:t>
            </w:r>
          </w:p>
        </w:tc>
      </w:tr>
      <w:tr w:rsidR="00E87C99" w:rsidRPr="00F10E27" w14:paraId="4933EB6D" w14:textId="77777777">
        <w:tc>
          <w:tcPr>
            <w:tcW w:w="16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2D1B598E"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Timing trade-off (2040 scenario)</w:t>
            </w:r>
            <w:r w:rsidRPr="00F10E27">
              <w:rPr>
                <w:rFonts w:ascii="Garamond" w:hAnsi="Garamond"/>
                <w:lang w:val="en-US"/>
              </w:rPr>
              <w:t xml:space="preserve"> — Section 5.5</w:t>
            </w:r>
          </w:p>
        </w:tc>
        <w:tc>
          <w:tcPr>
            <w:tcW w:w="37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0D475DC7"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 xml:space="preserve">2040.xlsx: </w:t>
            </w:r>
            <w:r w:rsidRPr="00F10E27">
              <w:rPr>
                <w:rFonts w:ascii="Garamond" w:hAnsi="Garamond"/>
                <w:lang w:val="en-US"/>
              </w:rPr>
              <w:t xml:space="preserve">donor-grant peak </w:t>
            </w:r>
            <w:r w:rsidRPr="00F10E27">
              <w:rPr>
                <w:rFonts w:ascii="Garamond" w:eastAsia="Consolas" w:hAnsi="Garamond" w:cs="Consolas"/>
                <w:sz w:val="20"/>
                <w:szCs w:val="20"/>
                <w:lang w:val="en-US"/>
              </w:rPr>
              <w:t>1_Executive_Summary!O53</w:t>
            </w:r>
            <w:r w:rsidRPr="00F10E27">
              <w:rPr>
                <w:rFonts w:ascii="Garamond" w:hAnsi="Garamond"/>
                <w:lang w:val="en-US"/>
              </w:rPr>
              <w:t xml:space="preserve"> (224 m); investment peak </w:t>
            </w:r>
            <w:r w:rsidRPr="00F10E27">
              <w:rPr>
                <w:rFonts w:ascii="Garamond" w:eastAsia="Consolas" w:hAnsi="Garamond" w:cs="Consolas"/>
                <w:sz w:val="20"/>
                <w:szCs w:val="20"/>
                <w:lang w:val="en-US"/>
              </w:rPr>
              <w:t>2_Charts!G218</w:t>
            </w:r>
            <w:r w:rsidRPr="00F10E27">
              <w:rPr>
                <w:rFonts w:ascii="Garamond" w:hAnsi="Garamond"/>
                <w:lang w:val="en-US"/>
              </w:rPr>
              <w:t xml:space="preserve"> (≈211 m). Base-case investment peak: </w:t>
            </w:r>
            <w:r w:rsidRPr="00F10E27">
              <w:rPr>
                <w:rFonts w:ascii="Garamond" w:eastAsia="Consolas" w:hAnsi="Garamond" w:cs="Consolas"/>
                <w:sz w:val="20"/>
                <w:szCs w:val="20"/>
                <w:lang w:val="en-US"/>
              </w:rPr>
              <w:t>2030.xlsx 3_Sector_Dashboard!E84</w:t>
            </w:r>
            <w:r w:rsidRPr="00F10E27">
              <w:rPr>
                <w:rFonts w:ascii="Garamond" w:hAnsi="Garamond"/>
                <w:lang w:val="en-US"/>
              </w:rPr>
              <w:t xml:space="preserve"> (442 m).</w:t>
            </w:r>
          </w:p>
        </w:tc>
        <w:tc>
          <w:tcPr>
            <w:tcW w:w="3626"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05E54FD2"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 xml:space="preserve">Reproduced. </w:t>
            </w:r>
            <w:r w:rsidRPr="00F10E27">
              <w:rPr>
                <w:rFonts w:ascii="Garamond" w:hAnsi="Garamond"/>
                <w:lang w:val="en-US"/>
              </w:rPr>
              <w:t>Largest donor-grant year 383→224 m; largest investment year 442→211 m; total sovereign equity falls by ≈675 m (</w:t>
            </w:r>
            <w:r w:rsidRPr="00F10E27">
              <w:rPr>
                <w:rFonts w:ascii="Garamond" w:eastAsia="Consolas" w:hAnsi="Garamond" w:cs="Consolas"/>
                <w:sz w:val="20"/>
                <w:szCs w:val="20"/>
                <w:lang w:val="en-US"/>
              </w:rPr>
              <w:t>2040.xlsx 2_Charts!M213</w:t>
            </w:r>
            <w:r w:rsidRPr="00F10E27">
              <w:rPr>
                <w:rFonts w:ascii="Garamond" w:hAnsi="Garamond"/>
                <w:lang w:val="en-US"/>
              </w:rPr>
              <w:t>).</w:t>
            </w:r>
          </w:p>
        </w:tc>
      </w:tr>
      <w:tr w:rsidR="00E87C99" w:rsidRPr="00F10E27" w14:paraId="3CFC3626" w14:textId="77777777">
        <w:tc>
          <w:tcPr>
            <w:tcW w:w="1650"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67DBA104"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Table 1</w:t>
            </w:r>
            <w:r w:rsidRPr="00F10E27">
              <w:rPr>
                <w:rFonts w:ascii="Garamond" w:hAnsi="Garamond"/>
                <w:lang w:val="en-US"/>
              </w:rPr>
              <w:t xml:space="preserve"> — Uganda</w:t>
            </w:r>
          </w:p>
        </w:tc>
        <w:tc>
          <w:tcPr>
            <w:tcW w:w="3750"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6FBD1049" w14:textId="77777777" w:rsidR="00E87C99" w:rsidRPr="00F10E27" w:rsidRDefault="00000000" w:rsidP="00F10E27">
            <w:pPr>
              <w:spacing w:after="40" w:line="252" w:lineRule="auto"/>
              <w:rPr>
                <w:rFonts w:ascii="Garamond" w:hAnsi="Garamond"/>
                <w:lang w:val="en-US"/>
              </w:rPr>
            </w:pPr>
            <w:r w:rsidRPr="00F10E27">
              <w:rPr>
                <w:rFonts w:ascii="Garamond" w:hAnsi="Garamond"/>
                <w:lang w:val="en-US"/>
              </w:rPr>
              <w:t>Not in this package.</w:t>
            </w:r>
          </w:p>
        </w:tc>
        <w:tc>
          <w:tcPr>
            <w:tcW w:w="3626"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4326A7B2"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 xml:space="preserve">Out of scope. </w:t>
            </w:r>
            <w:r w:rsidRPr="00F10E27">
              <w:rPr>
                <w:rFonts w:ascii="Garamond" w:hAnsi="Garamond"/>
                <w:lang w:val="en-US"/>
              </w:rPr>
              <w:t>Reproduced by the separate Uganda package.</w:t>
            </w:r>
          </w:p>
        </w:tc>
      </w:tr>
      <w:tr w:rsidR="00E87C99" w:rsidRPr="00F10E27" w14:paraId="05B7C8E5" w14:textId="77777777">
        <w:tc>
          <w:tcPr>
            <w:tcW w:w="1650"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32B62B85"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Table 3</w:t>
            </w:r>
            <w:r w:rsidRPr="00F10E27">
              <w:rPr>
                <w:rFonts w:ascii="Garamond" w:hAnsi="Garamond"/>
                <w:lang w:val="en-US"/>
              </w:rPr>
              <w:t xml:space="preserve"> — Madagascar</w:t>
            </w:r>
          </w:p>
        </w:tc>
        <w:tc>
          <w:tcPr>
            <w:tcW w:w="3750"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11B04D62" w14:textId="77777777" w:rsidR="00E87C99" w:rsidRPr="00F10E27" w:rsidRDefault="00000000" w:rsidP="00F10E27">
            <w:pPr>
              <w:spacing w:after="40" w:line="252" w:lineRule="auto"/>
              <w:rPr>
                <w:rFonts w:ascii="Garamond" w:hAnsi="Garamond"/>
                <w:lang w:val="en-US"/>
              </w:rPr>
            </w:pPr>
            <w:r w:rsidRPr="00F10E27">
              <w:rPr>
                <w:rFonts w:ascii="Garamond" w:hAnsi="Garamond"/>
                <w:lang w:val="en-US"/>
              </w:rPr>
              <w:t>Not a model output.</w:t>
            </w:r>
          </w:p>
        </w:tc>
        <w:tc>
          <w:tcPr>
            <w:tcW w:w="3626"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339567B1"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 xml:space="preserve">Not reproducible from code. </w:t>
            </w:r>
            <w:r w:rsidRPr="00F10E27">
              <w:rPr>
                <w:rFonts w:ascii="Garamond" w:hAnsi="Garamond"/>
                <w:lang w:val="en-US"/>
              </w:rPr>
              <w:t>Transcribed from GIZ sources.</w:t>
            </w:r>
          </w:p>
        </w:tc>
      </w:tr>
      <w:tr w:rsidR="00E87C99" w:rsidRPr="00F10E27" w14:paraId="4DC645E4" w14:textId="77777777">
        <w:tc>
          <w:tcPr>
            <w:tcW w:w="1650"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76A2B9A0"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Table 4</w:t>
            </w:r>
            <w:r w:rsidRPr="00F10E27">
              <w:rPr>
                <w:rFonts w:ascii="Garamond" w:hAnsi="Garamond"/>
                <w:lang w:val="en-US"/>
              </w:rPr>
              <w:t xml:space="preserve"> — calibration matrix</w:t>
            </w:r>
          </w:p>
        </w:tc>
        <w:tc>
          <w:tcPr>
            <w:tcW w:w="3750"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5BB8376B" w14:textId="77777777" w:rsidR="00E87C99" w:rsidRPr="00F10E27" w:rsidRDefault="00000000" w:rsidP="00F10E27">
            <w:pPr>
              <w:spacing w:after="40" w:line="252" w:lineRule="auto"/>
              <w:rPr>
                <w:rFonts w:ascii="Garamond" w:hAnsi="Garamond"/>
                <w:lang w:val="en-US"/>
              </w:rPr>
            </w:pPr>
            <w:r w:rsidRPr="00F10E27">
              <w:rPr>
                <w:rFonts w:ascii="Garamond" w:hAnsi="Garamond"/>
                <w:lang w:val="en-US"/>
              </w:rPr>
              <w:t>Not a model output.</w:t>
            </w:r>
          </w:p>
        </w:tc>
        <w:tc>
          <w:tcPr>
            <w:tcW w:w="3626"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4532ED4C"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 xml:space="preserve">Qualitative. </w:t>
            </w:r>
            <w:r w:rsidRPr="00F10E27">
              <w:rPr>
                <w:rFonts w:ascii="Garamond" w:hAnsi="Garamond"/>
                <w:lang w:val="en-US"/>
              </w:rPr>
              <w:t>Authors' synthesis.</w:t>
            </w:r>
          </w:p>
        </w:tc>
      </w:tr>
      <w:tr w:rsidR="00E87C99" w:rsidRPr="00F10E27" w14:paraId="030F3B0A" w14:textId="77777777">
        <w:tc>
          <w:tcPr>
            <w:tcW w:w="1650"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4A740808"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lastRenderedPageBreak/>
              <w:t>Figures 1–2</w:t>
            </w:r>
            <w:r w:rsidRPr="00F10E27">
              <w:rPr>
                <w:rFonts w:ascii="Garamond" w:hAnsi="Garamond"/>
                <w:lang w:val="en-US"/>
              </w:rPr>
              <w:t xml:space="preserve"> — flows / two-gaps schematic</w:t>
            </w:r>
          </w:p>
        </w:tc>
        <w:tc>
          <w:tcPr>
            <w:tcW w:w="3750"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6064EA54" w14:textId="77777777" w:rsidR="00E87C99" w:rsidRPr="00F10E27" w:rsidRDefault="00000000" w:rsidP="00F10E27">
            <w:pPr>
              <w:spacing w:after="40" w:line="252" w:lineRule="auto"/>
              <w:rPr>
                <w:rFonts w:ascii="Garamond" w:hAnsi="Garamond"/>
                <w:lang w:val="en-US"/>
              </w:rPr>
            </w:pPr>
            <w:r w:rsidRPr="00F10E27">
              <w:rPr>
                <w:rFonts w:ascii="Garamond" w:hAnsi="Garamond"/>
                <w:lang w:val="en-US"/>
              </w:rPr>
              <w:t>Not model outputs.</w:t>
            </w:r>
          </w:p>
        </w:tc>
        <w:tc>
          <w:tcPr>
            <w:tcW w:w="3626" w:type="dxa"/>
            <w:tcBorders>
              <w:top w:val="single" w:sz="1" w:space="0" w:color="BBBBBB"/>
              <w:left w:val="single" w:sz="1" w:space="0" w:color="BBBBBB"/>
              <w:bottom w:val="single" w:sz="1" w:space="0" w:color="BBBBBB"/>
              <w:right w:val="single" w:sz="1" w:space="0" w:color="BBBBBB"/>
            </w:tcBorders>
            <w:shd w:val="clear" w:color="auto" w:fill="F4F4F4"/>
            <w:tcMar>
              <w:top w:w="60" w:type="dxa"/>
              <w:left w:w="110" w:type="dxa"/>
              <w:bottom w:w="60" w:type="dxa"/>
              <w:right w:w="110" w:type="dxa"/>
            </w:tcMar>
          </w:tcPr>
          <w:p w14:paraId="1A7E870A" w14:textId="77777777" w:rsidR="00E87C99" w:rsidRPr="00F10E27" w:rsidRDefault="00000000" w:rsidP="00F10E27">
            <w:pPr>
              <w:spacing w:after="40" w:line="252" w:lineRule="auto"/>
              <w:rPr>
                <w:rFonts w:ascii="Garamond" w:hAnsi="Garamond"/>
                <w:lang w:val="en-US"/>
              </w:rPr>
            </w:pPr>
            <w:r w:rsidRPr="00F10E27">
              <w:rPr>
                <w:rFonts w:ascii="Garamond" w:hAnsi="Garamond"/>
                <w:b/>
                <w:bCs/>
                <w:lang w:val="en-US"/>
              </w:rPr>
              <w:t>Conceptual diagrams.</w:t>
            </w:r>
          </w:p>
        </w:tc>
      </w:tr>
    </w:tbl>
    <w:p w14:paraId="7A58AF25" w14:textId="77777777" w:rsidR="00E87C99" w:rsidRPr="00F10E27" w:rsidRDefault="00000000" w:rsidP="00F10E27">
      <w:pPr>
        <w:pStyle w:val="Ttulo1"/>
        <w:spacing w:before="280" w:after="140"/>
        <w:jc w:val="both"/>
        <w:rPr>
          <w:rFonts w:ascii="Garamond" w:hAnsi="Garamond"/>
          <w:lang w:val="en-US"/>
        </w:rPr>
      </w:pPr>
      <w:r w:rsidRPr="00F10E27">
        <w:rPr>
          <w:rFonts w:ascii="Garamond" w:hAnsi="Garamond"/>
          <w:b/>
          <w:bCs/>
          <w:sz w:val="30"/>
          <w:szCs w:val="30"/>
          <w:lang w:val="en-US"/>
        </w:rPr>
        <w:t>5. Requirements</w:t>
      </w:r>
    </w:p>
    <w:p w14:paraId="37440758" w14:textId="77777777" w:rsidR="00E87C99" w:rsidRPr="00F10E27" w:rsidRDefault="00000000" w:rsidP="00F10E27">
      <w:pPr>
        <w:pStyle w:val="Ttulo2"/>
        <w:spacing w:before="200" w:after="100"/>
        <w:jc w:val="both"/>
        <w:rPr>
          <w:rFonts w:ascii="Garamond" w:hAnsi="Garamond"/>
          <w:lang w:val="en-US"/>
        </w:rPr>
      </w:pPr>
      <w:r w:rsidRPr="00F10E27">
        <w:rPr>
          <w:rFonts w:ascii="Garamond" w:hAnsi="Garamond"/>
          <w:b/>
          <w:bCs/>
          <w:sz w:val="25"/>
          <w:szCs w:val="25"/>
          <w:lang w:val="en-US"/>
        </w:rPr>
        <w:t>5.1 Computational requirements</w:t>
      </w:r>
    </w:p>
    <w:p w14:paraId="47DA90C3"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lang w:val="en-US"/>
        </w:rPr>
        <w:t>Operating system: Windows or macOS capable of running Microsoft Excel. No high-performance computing required.</w:t>
      </w:r>
    </w:p>
    <w:p w14:paraId="26F061DB"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lang w:val="en-US"/>
        </w:rPr>
        <w:t>No executable code; all computation is performed by native Excel formulas at workbook open / recalculation, with iterative calculation enabled.</w:t>
      </w:r>
    </w:p>
    <w:p w14:paraId="6EE6E04E" w14:textId="77777777" w:rsidR="00E87C99" w:rsidRPr="00F10E27" w:rsidRDefault="00000000" w:rsidP="00F10E27">
      <w:pPr>
        <w:pStyle w:val="Ttulo2"/>
        <w:spacing w:before="200" w:after="100"/>
        <w:jc w:val="both"/>
        <w:rPr>
          <w:rFonts w:ascii="Garamond" w:hAnsi="Garamond"/>
          <w:lang w:val="en-US"/>
        </w:rPr>
      </w:pPr>
      <w:r w:rsidRPr="00F10E27">
        <w:rPr>
          <w:rFonts w:ascii="Garamond" w:hAnsi="Garamond"/>
          <w:b/>
          <w:bCs/>
          <w:sz w:val="25"/>
          <w:szCs w:val="25"/>
          <w:lang w:val="en-US"/>
        </w:rPr>
        <w:t>5.2 Software requirements</w:t>
      </w:r>
    </w:p>
    <w:p w14:paraId="2A37F0B2"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lang w:val="en-US"/>
        </w:rPr>
        <w:t>Microsoft Excel 2016 or later, or Microsoft 365, with iterative calculation enabled (already set in the delivered files).</w:t>
      </w:r>
    </w:p>
    <w:p w14:paraId="3F19A6C5"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lang w:val="en-US"/>
        </w:rPr>
        <w:t>Opening in non-Microsoft spreadsheet applications is not recommended: differences in iterative-calculation and formula handling can change recalculated values.</w:t>
      </w:r>
    </w:p>
    <w:p w14:paraId="561F9FB1" w14:textId="77777777" w:rsidR="00E87C99" w:rsidRPr="00F10E27" w:rsidRDefault="00000000" w:rsidP="00F10E27">
      <w:pPr>
        <w:pStyle w:val="Ttulo2"/>
        <w:spacing w:before="200" w:after="100"/>
        <w:jc w:val="both"/>
        <w:rPr>
          <w:rFonts w:ascii="Garamond" w:hAnsi="Garamond"/>
          <w:lang w:val="en-US"/>
        </w:rPr>
      </w:pPr>
      <w:r w:rsidRPr="00F10E27">
        <w:rPr>
          <w:rFonts w:ascii="Garamond" w:hAnsi="Garamond"/>
          <w:b/>
          <w:bCs/>
          <w:sz w:val="25"/>
          <w:szCs w:val="25"/>
          <w:lang w:val="en-US"/>
        </w:rPr>
        <w:t>5.3 Memory, runtime, and storage</w:t>
      </w:r>
    </w:p>
    <w:p w14:paraId="163E381F"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lang w:val="en-US"/>
        </w:rPr>
        <w:t>Memory: a standard laptop (e.g., 8 GB RAM) is sufficient.</w:t>
      </w:r>
    </w:p>
    <w:p w14:paraId="6BFBC989"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Runtime: </w:t>
      </w:r>
      <w:r w:rsidRPr="00F10E27">
        <w:rPr>
          <w:rFonts w:ascii="Garamond" w:hAnsi="Garamond"/>
          <w:lang w:val="en-US"/>
        </w:rPr>
        <w:t>opening and recalculating each workbook completes in well under five hours — typically under one minute on a standard machine. The World Bank's five-hour and one-day runtime provisions therefore do not apply, and no prior scheduling email is needed.</w:t>
      </w:r>
    </w:p>
    <w:p w14:paraId="356F8987"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lang w:val="en-US"/>
        </w:rPr>
        <w:t>Storage: the two workbooks total a few MB; no archives are unzipped and no temporary files are written.</w:t>
      </w:r>
    </w:p>
    <w:p w14:paraId="12FBC428" w14:textId="77777777" w:rsidR="00E87C99" w:rsidRPr="00F10E27" w:rsidRDefault="00000000" w:rsidP="00F10E27">
      <w:pPr>
        <w:pStyle w:val="Ttulo1"/>
        <w:spacing w:before="280" w:after="140"/>
        <w:jc w:val="both"/>
        <w:rPr>
          <w:rFonts w:ascii="Garamond" w:hAnsi="Garamond"/>
          <w:lang w:val="en-US"/>
        </w:rPr>
      </w:pPr>
      <w:r w:rsidRPr="00F10E27">
        <w:rPr>
          <w:rFonts w:ascii="Garamond" w:hAnsi="Garamond"/>
          <w:b/>
          <w:bCs/>
          <w:sz w:val="30"/>
          <w:szCs w:val="30"/>
          <w:lang w:val="en-US"/>
        </w:rPr>
        <w:t>6. Model (code) description</w:t>
      </w:r>
    </w:p>
    <w:p w14:paraId="5FA0EA47" w14:textId="77777777" w:rsidR="00E87C99" w:rsidRPr="00F10E27" w:rsidRDefault="00000000" w:rsidP="00F10E27">
      <w:pPr>
        <w:spacing w:after="120" w:line="276" w:lineRule="auto"/>
        <w:jc w:val="both"/>
        <w:rPr>
          <w:rFonts w:ascii="Garamond" w:hAnsi="Garamond"/>
          <w:lang w:val="en-US"/>
        </w:rPr>
      </w:pPr>
      <w:r w:rsidRPr="00F10E27">
        <w:rPr>
          <w:rFonts w:ascii="Garamond" w:hAnsi="Garamond"/>
          <w:lang w:val="en-US"/>
        </w:rPr>
        <w:t>Both workbooks share an identical, modular architecture. Inputs are concentrated in one assumptions sheet; entity sub-models feed a sector consolidation and the financing vehicle; results are compiled in the dashboard and executive summary.</w:t>
      </w:r>
    </w:p>
    <w:p w14:paraId="3B488507"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eastAsia="Consolas" w:hAnsi="Garamond" w:cs="Consolas"/>
          <w:b/>
          <w:bCs/>
          <w:sz w:val="20"/>
          <w:szCs w:val="20"/>
          <w:lang w:val="en-US"/>
        </w:rPr>
        <w:t>5_Assumptions</w:t>
      </w:r>
      <w:r w:rsidRPr="00F10E27">
        <w:rPr>
          <w:rFonts w:ascii="Garamond" w:hAnsi="Garamond"/>
          <w:b/>
          <w:bCs/>
          <w:lang w:val="en-US"/>
        </w:rPr>
        <w:t xml:space="preserve"> / </w:t>
      </w:r>
      <w:r w:rsidRPr="00F10E27">
        <w:rPr>
          <w:rFonts w:ascii="Garamond" w:eastAsia="Consolas" w:hAnsi="Garamond" w:cs="Consolas"/>
          <w:b/>
          <w:bCs/>
          <w:sz w:val="20"/>
          <w:szCs w:val="20"/>
          <w:lang w:val="en-US"/>
        </w:rPr>
        <w:t>6_Macro_FX</w:t>
      </w:r>
      <w:r w:rsidRPr="00F10E27">
        <w:rPr>
          <w:rFonts w:ascii="Garamond" w:hAnsi="Garamond"/>
          <w:lang w:val="en-US"/>
        </w:rPr>
        <w:t xml:space="preserve"> — all raw inputs (connection targets, unit costs, grant shares, cost of capital, levy, coverage test) and the macro / FX path. Each input is documented inline with its source.</w:t>
      </w:r>
    </w:p>
    <w:p w14:paraId="68243236"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Entity sheets</w:t>
      </w:r>
      <w:r w:rsidRPr="00F10E27">
        <w:rPr>
          <w:rFonts w:ascii="Garamond" w:hAnsi="Garamond"/>
          <w:lang w:val="en-US"/>
        </w:rPr>
        <w:t xml:space="preserve"> — ZESCO (</w:t>
      </w:r>
      <w:r w:rsidRPr="00F10E27">
        <w:rPr>
          <w:rFonts w:ascii="Garamond" w:eastAsia="Consolas" w:hAnsi="Garamond" w:cs="Consolas"/>
          <w:sz w:val="20"/>
          <w:szCs w:val="20"/>
          <w:lang w:val="en-US"/>
        </w:rPr>
        <w:t>7_ZESCO_Op</w:t>
      </w:r>
      <w:r w:rsidRPr="00F10E27">
        <w:rPr>
          <w:rFonts w:ascii="Garamond" w:hAnsi="Garamond"/>
          <w:lang w:val="en-US"/>
        </w:rPr>
        <w:t xml:space="preserve">, </w:t>
      </w:r>
      <w:r w:rsidRPr="00F10E27">
        <w:rPr>
          <w:rFonts w:ascii="Garamond" w:eastAsia="Consolas" w:hAnsi="Garamond" w:cs="Consolas"/>
          <w:sz w:val="20"/>
          <w:szCs w:val="20"/>
          <w:lang w:val="en-US"/>
        </w:rPr>
        <w:t>8_ZESCO_Legacy</w:t>
      </w:r>
      <w:r w:rsidRPr="00F10E27">
        <w:rPr>
          <w:rFonts w:ascii="Garamond" w:hAnsi="Garamond"/>
          <w:lang w:val="en-US"/>
        </w:rPr>
        <w:t xml:space="preserve">, </w:t>
      </w:r>
      <w:r w:rsidRPr="00F10E27">
        <w:rPr>
          <w:rFonts w:ascii="Garamond" w:eastAsia="Consolas" w:hAnsi="Garamond" w:cs="Consolas"/>
          <w:sz w:val="20"/>
          <w:szCs w:val="20"/>
          <w:lang w:val="en-US"/>
        </w:rPr>
        <w:t>9_ZESCO_FFSS</w:t>
      </w:r>
      <w:r w:rsidRPr="00F10E27">
        <w:rPr>
          <w:rFonts w:ascii="Garamond" w:hAnsi="Garamond"/>
          <w:lang w:val="en-US"/>
        </w:rPr>
        <w:t>), PrivateCo (</w:t>
      </w:r>
      <w:r w:rsidRPr="00F10E27">
        <w:rPr>
          <w:rFonts w:ascii="Garamond" w:eastAsia="Consolas" w:hAnsi="Garamond" w:cs="Consolas"/>
          <w:sz w:val="20"/>
          <w:szCs w:val="20"/>
          <w:lang w:val="en-US"/>
        </w:rPr>
        <w:t>11_PrivateCo_Op</w:t>
      </w:r>
      <w:r w:rsidRPr="00F10E27">
        <w:rPr>
          <w:rFonts w:ascii="Garamond" w:hAnsi="Garamond"/>
          <w:lang w:val="en-US"/>
        </w:rPr>
        <w:t xml:space="preserve">, </w:t>
      </w:r>
      <w:r w:rsidRPr="00F10E27">
        <w:rPr>
          <w:rFonts w:ascii="Garamond" w:eastAsia="Consolas" w:hAnsi="Garamond" w:cs="Consolas"/>
          <w:sz w:val="20"/>
          <w:szCs w:val="20"/>
          <w:lang w:val="en-US"/>
        </w:rPr>
        <w:t>12_PrivateCo_FFSS</w:t>
      </w:r>
      <w:r w:rsidRPr="00F10E27">
        <w:rPr>
          <w:rFonts w:ascii="Garamond" w:hAnsi="Garamond"/>
          <w:lang w:val="en-US"/>
        </w:rPr>
        <w:t>), and off-grid (</w:t>
      </w:r>
      <w:r w:rsidRPr="00F10E27">
        <w:rPr>
          <w:rFonts w:ascii="Garamond" w:eastAsia="Consolas" w:hAnsi="Garamond" w:cs="Consolas"/>
          <w:sz w:val="20"/>
          <w:szCs w:val="20"/>
          <w:lang w:val="en-US"/>
        </w:rPr>
        <w:t>14_Minigrids_Op</w:t>
      </w:r>
      <w:r w:rsidRPr="00F10E27">
        <w:rPr>
          <w:rFonts w:ascii="Garamond" w:hAnsi="Garamond"/>
          <w:lang w:val="en-US"/>
        </w:rPr>
        <w:t xml:space="preserve">, </w:t>
      </w:r>
      <w:r w:rsidRPr="00F10E27">
        <w:rPr>
          <w:rFonts w:ascii="Garamond" w:eastAsia="Consolas" w:hAnsi="Garamond" w:cs="Consolas"/>
          <w:sz w:val="20"/>
          <w:szCs w:val="20"/>
          <w:lang w:val="en-US"/>
        </w:rPr>
        <w:t>15_SHS_Op</w:t>
      </w:r>
      <w:r w:rsidRPr="00F10E27">
        <w:rPr>
          <w:rFonts w:ascii="Garamond" w:hAnsi="Garamond"/>
          <w:lang w:val="en-US"/>
        </w:rPr>
        <w:t xml:space="preserve">, </w:t>
      </w:r>
      <w:r w:rsidRPr="00F10E27">
        <w:rPr>
          <w:rFonts w:ascii="Garamond" w:eastAsia="Consolas" w:hAnsi="Garamond" w:cs="Consolas"/>
          <w:sz w:val="20"/>
          <w:szCs w:val="20"/>
          <w:lang w:val="en-US"/>
        </w:rPr>
        <w:t>16_OffGrid_FFSS</w:t>
      </w:r>
      <w:r w:rsidRPr="00F10E27">
        <w:rPr>
          <w:rFonts w:ascii="Garamond" w:hAnsi="Garamond"/>
          <w:lang w:val="en-US"/>
        </w:rPr>
        <w:t>): operations and full financial statements per vehicle.</w:t>
      </w:r>
    </w:p>
    <w:p w14:paraId="4FA72532"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Cost-of-service sheets</w:t>
      </w:r>
      <w:r w:rsidRPr="00F10E27">
        <w:rPr>
          <w:rFonts w:ascii="Garamond" w:hAnsi="Garamond"/>
          <w:lang w:val="en-US"/>
        </w:rPr>
        <w:t xml:space="preserve"> (</w:t>
      </w:r>
      <w:r w:rsidRPr="00F10E27">
        <w:rPr>
          <w:rFonts w:ascii="Garamond" w:eastAsia="Consolas" w:hAnsi="Garamond" w:cs="Consolas"/>
          <w:sz w:val="20"/>
          <w:szCs w:val="20"/>
          <w:lang w:val="en-US"/>
        </w:rPr>
        <w:t>4_CS_Full_Sector</w:t>
      </w:r>
      <w:r w:rsidRPr="00F10E27">
        <w:rPr>
          <w:rFonts w:ascii="Garamond" w:hAnsi="Garamond"/>
          <w:lang w:val="en-US"/>
        </w:rPr>
        <w:t xml:space="preserve">, </w:t>
      </w:r>
      <w:r w:rsidRPr="00F10E27">
        <w:rPr>
          <w:rFonts w:ascii="Garamond" w:eastAsia="Consolas" w:hAnsi="Garamond" w:cs="Consolas"/>
          <w:sz w:val="20"/>
          <w:szCs w:val="20"/>
          <w:lang w:val="en-US"/>
        </w:rPr>
        <w:t>10_CS_ZESCO</w:t>
      </w:r>
      <w:r w:rsidRPr="00F10E27">
        <w:rPr>
          <w:rFonts w:ascii="Garamond" w:hAnsi="Garamond"/>
          <w:lang w:val="en-US"/>
        </w:rPr>
        <w:t xml:space="preserve">, </w:t>
      </w:r>
      <w:r w:rsidRPr="00F10E27">
        <w:rPr>
          <w:rFonts w:ascii="Garamond" w:eastAsia="Consolas" w:hAnsi="Garamond" w:cs="Consolas"/>
          <w:sz w:val="20"/>
          <w:szCs w:val="20"/>
          <w:lang w:val="en-US"/>
        </w:rPr>
        <w:t>13_CS_PrivateCo</w:t>
      </w:r>
      <w:r w:rsidRPr="00F10E27">
        <w:rPr>
          <w:rFonts w:ascii="Garamond" w:hAnsi="Garamond"/>
          <w:lang w:val="en-US"/>
        </w:rPr>
        <w:t xml:space="preserve">, </w:t>
      </w:r>
      <w:r w:rsidRPr="00F10E27">
        <w:rPr>
          <w:rFonts w:ascii="Garamond" w:eastAsia="Consolas" w:hAnsi="Garamond" w:cs="Consolas"/>
          <w:sz w:val="20"/>
          <w:szCs w:val="20"/>
          <w:lang w:val="en-US"/>
        </w:rPr>
        <w:t>17_CS_Minigrids</w:t>
      </w:r>
      <w:r w:rsidRPr="00F10E27">
        <w:rPr>
          <w:rFonts w:ascii="Garamond" w:hAnsi="Garamond"/>
          <w:lang w:val="en-US"/>
        </w:rPr>
        <w:t xml:space="preserve">, </w:t>
      </w:r>
      <w:r w:rsidRPr="00F10E27">
        <w:rPr>
          <w:rFonts w:ascii="Garamond" w:eastAsia="Consolas" w:hAnsi="Garamond" w:cs="Consolas"/>
          <w:sz w:val="20"/>
          <w:szCs w:val="20"/>
          <w:lang w:val="en-US"/>
        </w:rPr>
        <w:t>18_CS_SHS</w:t>
      </w:r>
      <w:r w:rsidRPr="00F10E27">
        <w:rPr>
          <w:rFonts w:ascii="Garamond" w:hAnsi="Garamond"/>
          <w:lang w:val="en-US"/>
        </w:rPr>
        <w:t>) — the regulated revenue requirement and viability gap per entity and for the whole sector.</w:t>
      </w:r>
    </w:p>
    <w:p w14:paraId="5A4AD85D"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eastAsia="Consolas" w:hAnsi="Garamond" w:cs="Consolas"/>
          <w:b/>
          <w:bCs/>
          <w:sz w:val="20"/>
          <w:szCs w:val="20"/>
          <w:lang w:val="en-US"/>
        </w:rPr>
        <w:t>19_FinanceCo</w:t>
      </w:r>
      <w:r w:rsidRPr="00F10E27">
        <w:rPr>
          <w:rFonts w:ascii="Garamond" w:hAnsi="Garamond"/>
          <w:lang w:val="en-US"/>
        </w:rPr>
        <w:t xml:space="preserve"> — the pooled, ring-fenced settlement vehicle (Ministry of Finance): applies the levy first, then donor grants, concessional debt, and government equity; produces the sources-and-uses and the donor request. Compiled in </w:t>
      </w:r>
      <w:r w:rsidRPr="00F10E27">
        <w:rPr>
          <w:rFonts w:ascii="Garamond" w:eastAsia="Consolas" w:hAnsi="Garamond" w:cs="Consolas"/>
          <w:sz w:val="20"/>
          <w:szCs w:val="20"/>
          <w:lang w:val="en-US"/>
        </w:rPr>
        <w:t>1_Executive_Summary</w:t>
      </w:r>
      <w:r w:rsidRPr="00F10E27">
        <w:rPr>
          <w:rFonts w:ascii="Garamond" w:hAnsi="Garamond"/>
          <w:lang w:val="en-US"/>
        </w:rPr>
        <w:t xml:space="preserve"> and </w:t>
      </w:r>
      <w:r w:rsidRPr="00F10E27">
        <w:rPr>
          <w:rFonts w:ascii="Garamond" w:eastAsia="Consolas" w:hAnsi="Garamond" w:cs="Consolas"/>
          <w:sz w:val="20"/>
          <w:szCs w:val="20"/>
          <w:lang w:val="en-US"/>
        </w:rPr>
        <w:t>3_Sector_Dashboard</w:t>
      </w:r>
      <w:r w:rsidRPr="00F10E27">
        <w:rPr>
          <w:rFonts w:ascii="Garamond" w:hAnsi="Garamond"/>
          <w:lang w:val="en-US"/>
        </w:rPr>
        <w:t>.</w:t>
      </w:r>
    </w:p>
    <w:p w14:paraId="045B4287" w14:textId="77777777" w:rsidR="00E87C99" w:rsidRPr="00F10E27" w:rsidRDefault="00000000" w:rsidP="00F10E27">
      <w:pPr>
        <w:spacing w:after="120" w:line="276" w:lineRule="auto"/>
        <w:jc w:val="both"/>
        <w:rPr>
          <w:rFonts w:ascii="Garamond" w:hAnsi="Garamond"/>
          <w:lang w:val="en-US"/>
        </w:rPr>
      </w:pPr>
      <w:r w:rsidRPr="00F10E27">
        <w:rPr>
          <w:rFonts w:ascii="Garamond" w:hAnsi="Garamond"/>
          <w:b/>
          <w:bCs/>
          <w:lang w:val="en-US"/>
        </w:rPr>
        <w:t>Notes for a verifier:</w:t>
      </w:r>
    </w:p>
    <w:p w14:paraId="3C13E73F"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t xml:space="preserve">Iterative calculation. </w:t>
      </w:r>
      <w:r w:rsidRPr="00F10E27">
        <w:rPr>
          <w:rFonts w:ascii="Garamond" w:hAnsi="Garamond"/>
          <w:lang w:val="en-US"/>
        </w:rPr>
        <w:t>The cost-of-service / viability-gap equilibrium is solved iteratively via circular references; iterative calculation is enabled in the delivered files.</w:t>
      </w:r>
    </w:p>
    <w:p w14:paraId="629B2A2F"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hAnsi="Garamond"/>
          <w:b/>
          <w:bCs/>
          <w:lang w:val="en-US"/>
        </w:rPr>
        <w:lastRenderedPageBreak/>
        <w:t xml:space="preserve">ZESCO's inherited burden is kept separate. </w:t>
      </w:r>
      <w:r w:rsidRPr="00F10E27">
        <w:rPr>
          <w:rFonts w:ascii="Garamond" w:hAnsi="Garamond"/>
          <w:lang w:val="en-US"/>
        </w:rPr>
        <w:t>ZESCO's pre-existing debt (≈3,524 m) and unpaid supplier invoices (≈2,245 m) are modeled in ZESCO's own accounts and affect its cash flows, but they are deliberately excluded from the rural-access aggregates (investment, viability-gap subsidy, donor request, and Finance-Co sources/uses). They should not be added to those totals; doing so would inflate the apparent cost of access.</w:t>
      </w:r>
    </w:p>
    <w:p w14:paraId="75AE4628" w14:textId="77777777" w:rsidR="00E87C99" w:rsidRPr="00F10E27" w:rsidRDefault="00000000" w:rsidP="00F10E27">
      <w:pPr>
        <w:pStyle w:val="Ttulo1"/>
        <w:spacing w:before="280" w:after="140"/>
        <w:jc w:val="both"/>
        <w:rPr>
          <w:rFonts w:ascii="Garamond" w:hAnsi="Garamond"/>
          <w:lang w:val="en-US"/>
        </w:rPr>
      </w:pPr>
      <w:r w:rsidRPr="00F10E27">
        <w:rPr>
          <w:rFonts w:ascii="Garamond" w:hAnsi="Garamond"/>
          <w:b/>
          <w:bCs/>
          <w:sz w:val="30"/>
          <w:szCs w:val="30"/>
          <w:lang w:val="en-US"/>
        </w:rPr>
        <w:t>7. Folder structure</w:t>
      </w:r>
    </w:p>
    <w:p w14:paraId="39C65AC0"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eastAsia="Consolas" w:hAnsi="Garamond" w:cs="Consolas"/>
          <w:sz w:val="20"/>
          <w:szCs w:val="20"/>
          <w:lang w:val="en-US"/>
        </w:rPr>
        <w:t>/REMP_-_Financial_Model_2030.xlsx</w:t>
      </w:r>
    </w:p>
    <w:p w14:paraId="09945916" w14:textId="77777777" w:rsidR="00E87C99" w:rsidRPr="00F10E27" w:rsidRDefault="00000000" w:rsidP="00F10E27">
      <w:pPr>
        <w:pStyle w:val="Prrafodelista"/>
        <w:numPr>
          <w:ilvl w:val="0"/>
          <w:numId w:val="1"/>
        </w:numPr>
        <w:spacing w:after="80" w:line="276" w:lineRule="auto"/>
        <w:jc w:val="both"/>
        <w:rPr>
          <w:rFonts w:ascii="Garamond" w:hAnsi="Garamond"/>
          <w:lang w:val="en-US"/>
        </w:rPr>
      </w:pPr>
      <w:r w:rsidRPr="00F10E27">
        <w:rPr>
          <w:rFonts w:ascii="Garamond" w:eastAsia="Consolas" w:hAnsi="Garamond" w:cs="Consolas"/>
          <w:sz w:val="20"/>
          <w:szCs w:val="20"/>
          <w:lang w:val="en-US"/>
        </w:rPr>
        <w:t>/REMP_-_Financial_Model_2040.xlsx</w:t>
      </w:r>
    </w:p>
    <w:p w14:paraId="41AF7480" w14:textId="698D5B63" w:rsidR="00E87C99" w:rsidRPr="00D51C31" w:rsidRDefault="00000000" w:rsidP="00D51C31">
      <w:pPr>
        <w:pStyle w:val="Prrafodelista"/>
        <w:numPr>
          <w:ilvl w:val="0"/>
          <w:numId w:val="1"/>
        </w:numPr>
        <w:spacing w:after="80" w:line="276" w:lineRule="auto"/>
        <w:jc w:val="both"/>
        <w:rPr>
          <w:rFonts w:ascii="Garamond" w:hAnsi="Garamond"/>
          <w:lang w:val="en-US"/>
        </w:rPr>
      </w:pPr>
      <w:r w:rsidRPr="00F10E27">
        <w:rPr>
          <w:rFonts w:ascii="Garamond" w:eastAsia="Consolas" w:hAnsi="Garamond" w:cs="Consolas"/>
          <w:sz w:val="20"/>
          <w:szCs w:val="20"/>
          <w:lang w:val="en-US"/>
        </w:rPr>
        <w:t>/README.docx</w:t>
      </w:r>
      <w:r w:rsidRPr="00F10E27">
        <w:rPr>
          <w:rFonts w:ascii="Garamond" w:hAnsi="Garamond"/>
          <w:lang w:val="en-US"/>
        </w:rPr>
        <w:t xml:space="preserve"> (this file)</w:t>
      </w:r>
    </w:p>
    <w:sectPr w:rsidR="00E87C99" w:rsidRPr="00D51C31">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Consolas">
    <w:panose1 w:val="020B0609020204030204"/>
    <w:charset w:val="00"/>
    <w:family w:val="modern"/>
    <w:pitch w:val="fixed"/>
    <w:sig w:usb0="E10006FF" w:usb1="4000FCFF" w:usb2="00000009"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31A5750"/>
    <w:multiLevelType w:val="hybridMultilevel"/>
    <w:tmpl w:val="A24A5ED6"/>
    <w:lvl w:ilvl="0" w:tplc="8CDE9BBE">
      <w:start w:val="1"/>
      <w:numFmt w:val="bullet"/>
      <w:lvlText w:val="●"/>
      <w:lvlJc w:val="left"/>
      <w:pPr>
        <w:ind w:left="720" w:hanging="360"/>
      </w:pPr>
    </w:lvl>
    <w:lvl w:ilvl="1" w:tplc="6840D578">
      <w:start w:val="1"/>
      <w:numFmt w:val="bullet"/>
      <w:lvlText w:val="○"/>
      <w:lvlJc w:val="left"/>
      <w:pPr>
        <w:ind w:left="1440" w:hanging="360"/>
      </w:pPr>
    </w:lvl>
    <w:lvl w:ilvl="2" w:tplc="F2962788">
      <w:start w:val="1"/>
      <w:numFmt w:val="bullet"/>
      <w:lvlText w:val="■"/>
      <w:lvlJc w:val="left"/>
      <w:pPr>
        <w:ind w:left="2160" w:hanging="360"/>
      </w:pPr>
    </w:lvl>
    <w:lvl w:ilvl="3" w:tplc="DB806460">
      <w:start w:val="1"/>
      <w:numFmt w:val="bullet"/>
      <w:lvlText w:val="●"/>
      <w:lvlJc w:val="left"/>
      <w:pPr>
        <w:ind w:left="2880" w:hanging="360"/>
      </w:pPr>
    </w:lvl>
    <w:lvl w:ilvl="4" w:tplc="42A8AF10">
      <w:start w:val="1"/>
      <w:numFmt w:val="bullet"/>
      <w:lvlText w:val="○"/>
      <w:lvlJc w:val="left"/>
      <w:pPr>
        <w:ind w:left="3600" w:hanging="360"/>
      </w:pPr>
    </w:lvl>
    <w:lvl w:ilvl="5" w:tplc="7DDCF300">
      <w:start w:val="1"/>
      <w:numFmt w:val="bullet"/>
      <w:lvlText w:val="■"/>
      <w:lvlJc w:val="left"/>
      <w:pPr>
        <w:ind w:left="4320" w:hanging="360"/>
      </w:pPr>
    </w:lvl>
    <w:lvl w:ilvl="6" w:tplc="E582684A">
      <w:start w:val="1"/>
      <w:numFmt w:val="bullet"/>
      <w:lvlText w:val="●"/>
      <w:lvlJc w:val="left"/>
      <w:pPr>
        <w:ind w:left="5040" w:hanging="360"/>
      </w:pPr>
    </w:lvl>
    <w:lvl w:ilvl="7" w:tplc="6D10940A">
      <w:start w:val="1"/>
      <w:numFmt w:val="bullet"/>
      <w:lvlText w:val="●"/>
      <w:lvlJc w:val="left"/>
      <w:pPr>
        <w:ind w:left="5760" w:hanging="360"/>
      </w:pPr>
    </w:lvl>
    <w:lvl w:ilvl="8" w:tplc="E16EB6E0">
      <w:start w:val="1"/>
      <w:numFmt w:val="bullet"/>
      <w:lvlText w:val="●"/>
      <w:lvlJc w:val="left"/>
      <w:pPr>
        <w:ind w:left="6480" w:hanging="360"/>
      </w:pPr>
    </w:lvl>
  </w:abstractNum>
  <w:num w:numId="1" w16cid:durableId="179394863">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C99"/>
    <w:rsid w:val="00412A99"/>
    <w:rsid w:val="00D51C31"/>
    <w:rsid w:val="00E87C99"/>
    <w:rsid w:val="00F10E2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6927D670"/>
  <w15:docId w15:val="{E13379E8-F852-1847-8CE5-A222178F0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Arial"/>
        <w:sz w:val="21"/>
        <w:szCs w:val="21"/>
        <w:lang w:val="es-ES"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Fuerte1">
    <w:name w:val="Fuerte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rPr>
      <w:sz w:val="20"/>
      <w:szCs w:val="20"/>
    </w:rPr>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rPr>
      <w:sz w:val="20"/>
      <w:szCs w:val="20"/>
    </w:rPr>
  </w:style>
  <w:style w:type="character" w:customStyle="1" w:styleId="TextonotaalfinalCar">
    <w:name w:val="Texto nota al final Car"/>
    <w:link w:val="Textonotaalfinal"/>
    <w:uiPriority w:val="99"/>
    <w:semiHidden/>
    <w:unhideWhenUsed/>
    <w:rPr>
      <w:sz w:val="20"/>
      <w:szCs w:val="20"/>
    </w:rPr>
  </w:style>
  <w:style w:type="character" w:styleId="Mencinsinresolver">
    <w:name w:val="Unresolved Mention"/>
    <w:basedOn w:val="Fuentedeprrafopredeter"/>
    <w:uiPriority w:val="99"/>
    <w:semiHidden/>
    <w:unhideWhenUsed/>
    <w:rsid w:val="00F10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ofnp.gov.zm/?wpdmpro=act-no-18-of-2023-the-public-private-partnership" TargetMode="External"/><Relationship Id="rId5" Type="http://schemas.openxmlformats.org/officeDocument/2006/relationships/hyperlink" Target="https://www.moe.gov.zm/?p=5722"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f34b0ab-fcf3-468f-92f9-73fe19b53e00}" enabled="1" method="Standard" siteId="{bcd2701c-aa9b-4d12-ba20-f3e3b83070c1}"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1816</Words>
  <Characters>9994</Characters>
  <Application>Microsoft Office Word</Application>
  <DocSecurity>0</DocSecurity>
  <Lines>83</Lines>
  <Paragraphs>23</Paragraphs>
  <ScaleCrop>false</ScaleCrop>
  <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Santos J. Díaz Pastor</cp:lastModifiedBy>
  <cp:revision>3</cp:revision>
  <dcterms:created xsi:type="dcterms:W3CDTF">2026-06-29T10:06:00Z</dcterms:created>
  <dcterms:modified xsi:type="dcterms:W3CDTF">2026-06-29T12:03:00Z</dcterms:modified>
</cp:coreProperties>
</file>